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6556" w14:textId="11803817" w:rsidR="00212DD5" w:rsidRPr="00916805" w:rsidRDefault="00212DD5" w:rsidP="00FF1C13">
      <w:pPr>
        <w:jc w:val="center"/>
        <w:rPr>
          <w:rFonts w:ascii="Sylfaen" w:eastAsia="Times New Roman" w:hAnsi="Sylfaen" w:cs="Times New Roman"/>
          <w:b/>
          <w:bCs/>
          <w:caps/>
          <w:lang w:val="en-US"/>
        </w:rPr>
      </w:pPr>
      <w:r w:rsidRPr="00916805">
        <w:rPr>
          <w:rFonts w:ascii="Sylfaen" w:eastAsia="Times New Roman" w:hAnsi="Sylfaen" w:cs="Times New Roman"/>
          <w:b/>
          <w:bCs/>
          <w:caps/>
          <w:noProof/>
        </w:rPr>
        <w:drawing>
          <wp:inline distT="0" distB="0" distL="0" distR="0" wp14:anchorId="7EF48758" wp14:editId="66FCF6EB">
            <wp:extent cx="1133475" cy="1246654"/>
            <wp:effectExtent l="0" t="0" r="0" b="0"/>
            <wp:docPr id="3" name="Picture 34" descr="C:\Users\user\Desktop\27543_135119819837025_69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27543_135119819837025_6991_n.jpg"/>
                    <pic:cNvPicPr>
                      <a:picLocks noChangeAspect="1" noChangeArrowheads="1"/>
                    </pic:cNvPicPr>
                  </pic:nvPicPr>
                  <pic:blipFill>
                    <a:blip r:embed="rId8" cstate="print"/>
                    <a:srcRect/>
                    <a:stretch>
                      <a:fillRect/>
                    </a:stretch>
                  </pic:blipFill>
                  <pic:spPr bwMode="auto">
                    <a:xfrm>
                      <a:off x="0" y="0"/>
                      <a:ext cx="1142776" cy="1256883"/>
                    </a:xfrm>
                    <a:prstGeom prst="rect">
                      <a:avLst/>
                    </a:prstGeom>
                    <a:noFill/>
                    <a:ln w="9525">
                      <a:noFill/>
                      <a:miter lim="800000"/>
                      <a:headEnd/>
                      <a:tailEnd/>
                    </a:ln>
                  </pic:spPr>
                </pic:pic>
              </a:graphicData>
            </a:graphic>
          </wp:inline>
        </w:drawing>
      </w:r>
    </w:p>
    <w:p w14:paraId="276BA0A9" w14:textId="448B224D" w:rsidR="005E2A4E" w:rsidRPr="00FF1C13" w:rsidRDefault="00333363" w:rsidP="00FF1C13">
      <w:pPr>
        <w:jc w:val="center"/>
        <w:rPr>
          <w:rFonts w:ascii="Sylfaen" w:eastAsia="Times New Roman" w:hAnsi="Sylfaen" w:cs="Times New Roman"/>
          <w:b/>
          <w:bCs/>
          <w:caps/>
          <w:color w:val="4376B3"/>
          <w:sz w:val="28"/>
          <w:szCs w:val="28"/>
          <w:lang w:val="en-US"/>
        </w:rPr>
      </w:pPr>
      <w:r w:rsidRPr="00FF1C13">
        <w:rPr>
          <w:rFonts w:ascii="Sylfaen" w:eastAsia="Times New Roman" w:hAnsi="Sylfaen" w:cs="Times New Roman"/>
          <w:b/>
          <w:bCs/>
          <w:caps/>
          <w:color w:val="4376B3"/>
          <w:sz w:val="28"/>
          <w:szCs w:val="28"/>
          <w:lang w:val="en-US"/>
        </w:rPr>
        <w:t>Yerevan State Medical University</w:t>
      </w:r>
    </w:p>
    <w:p w14:paraId="08073B48" w14:textId="0CDC2C64" w:rsidR="00E55228" w:rsidRPr="00FF1C13" w:rsidRDefault="00E55228" w:rsidP="00FF1C13">
      <w:pPr>
        <w:jc w:val="center"/>
        <w:rPr>
          <w:rFonts w:ascii="Sylfaen" w:eastAsia="Times New Roman" w:hAnsi="Sylfaen" w:cs="Times New Roman"/>
          <w:b/>
          <w:bCs/>
          <w:caps/>
          <w:color w:val="4376B3"/>
          <w:sz w:val="28"/>
          <w:szCs w:val="28"/>
          <w:lang w:val="en-US"/>
        </w:rPr>
      </w:pPr>
      <w:r w:rsidRPr="00FF1C13">
        <w:rPr>
          <w:rFonts w:ascii="Sylfaen" w:eastAsia="Times New Roman" w:hAnsi="Sylfaen" w:cs="Times New Roman"/>
          <w:b/>
          <w:bCs/>
          <w:caps/>
          <w:color w:val="4376B3"/>
          <w:sz w:val="28"/>
          <w:szCs w:val="28"/>
          <w:lang w:val="en-US"/>
        </w:rPr>
        <w:t>after Mkhitar heratsi</w:t>
      </w:r>
    </w:p>
    <w:p w14:paraId="6B9B7081" w14:textId="77777777" w:rsidR="00E74F3C" w:rsidRPr="00916805" w:rsidRDefault="00E74F3C" w:rsidP="00FF1C13">
      <w:pPr>
        <w:rPr>
          <w:rFonts w:ascii="Sylfaen" w:eastAsia="Times New Roman" w:hAnsi="Sylfaen" w:cs="Times New Roman"/>
          <w:b/>
          <w:bCs/>
          <w:i/>
          <w:iCs/>
          <w:caps/>
          <w:color w:val="4376B3"/>
          <w:lang w:val="en-US"/>
        </w:rPr>
      </w:pPr>
    </w:p>
    <w:p w14:paraId="66FF2CB6" w14:textId="7BF9F6B6" w:rsidR="00E02FB5" w:rsidRPr="00916805" w:rsidRDefault="005E2A4E" w:rsidP="00FF1C13">
      <w:pPr>
        <w:rPr>
          <w:rFonts w:ascii="Sylfaen" w:eastAsia="Times New Roman" w:hAnsi="Sylfaen" w:cs="Times New Roman"/>
          <w:b/>
          <w:bCs/>
          <w:caps/>
        </w:rPr>
      </w:pPr>
      <w:r w:rsidRPr="00916805">
        <w:rPr>
          <w:rFonts w:ascii="Sylfaen" w:eastAsia="Times New Roman" w:hAnsi="Sylfaen" w:cs="Times New Roman"/>
          <w:b/>
          <w:bCs/>
          <w:caps/>
          <w:noProof/>
        </w:rPr>
        <w:drawing>
          <wp:inline distT="0" distB="0" distL="0" distR="0" wp14:anchorId="00FF335F" wp14:editId="0EBA840B">
            <wp:extent cx="2981960" cy="1921313"/>
            <wp:effectExtent l="0" t="0" r="0" b="0"/>
            <wp:docPr id="38" name="Picture 38" descr="C:\Users\user\Desktop\y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ysmu.jpg"/>
                    <pic:cNvPicPr>
                      <a:picLocks noChangeAspect="1" noChangeArrowheads="1"/>
                    </pic:cNvPicPr>
                  </pic:nvPicPr>
                  <pic:blipFill>
                    <a:blip r:embed="rId9" cstate="print"/>
                    <a:srcRect/>
                    <a:stretch>
                      <a:fillRect/>
                    </a:stretch>
                  </pic:blipFill>
                  <pic:spPr bwMode="auto">
                    <a:xfrm>
                      <a:off x="0" y="0"/>
                      <a:ext cx="3022075" cy="1947160"/>
                    </a:xfrm>
                    <a:prstGeom prst="rect">
                      <a:avLst/>
                    </a:prstGeom>
                    <a:noFill/>
                    <a:ln w="9525">
                      <a:noFill/>
                      <a:miter lim="800000"/>
                      <a:headEnd/>
                      <a:tailEnd/>
                    </a:ln>
                  </pic:spPr>
                </pic:pic>
              </a:graphicData>
            </a:graphic>
          </wp:inline>
        </w:drawing>
      </w:r>
      <w:r w:rsidRPr="00916805">
        <w:rPr>
          <w:rFonts w:ascii="Sylfaen" w:eastAsia="Times New Roman" w:hAnsi="Sylfaen" w:cs="Times New Roman"/>
          <w:b/>
          <w:bCs/>
          <w:caps/>
          <w:noProof/>
        </w:rPr>
        <w:drawing>
          <wp:inline distT="0" distB="0" distL="0" distR="0" wp14:anchorId="33E2BDE9" wp14:editId="1232BAA0">
            <wp:extent cx="2973320" cy="1924050"/>
            <wp:effectExtent l="0" t="0" r="0" b="0"/>
            <wp:docPr id="35" name="Picture 35" descr="C:\Users\user\Desktop\ysmu-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ysmu-main.jpg"/>
                    <pic:cNvPicPr>
                      <a:picLocks noChangeAspect="1" noChangeArrowheads="1"/>
                    </pic:cNvPicPr>
                  </pic:nvPicPr>
                  <pic:blipFill>
                    <a:blip r:embed="rId10" cstate="print"/>
                    <a:srcRect/>
                    <a:stretch>
                      <a:fillRect/>
                    </a:stretch>
                  </pic:blipFill>
                  <pic:spPr bwMode="auto">
                    <a:xfrm>
                      <a:off x="0" y="0"/>
                      <a:ext cx="3087444" cy="1997900"/>
                    </a:xfrm>
                    <a:prstGeom prst="rect">
                      <a:avLst/>
                    </a:prstGeom>
                    <a:noFill/>
                    <a:ln w="9525">
                      <a:noFill/>
                      <a:miter lim="800000"/>
                      <a:headEnd/>
                      <a:tailEnd/>
                    </a:ln>
                  </pic:spPr>
                </pic:pic>
              </a:graphicData>
            </a:graphic>
          </wp:inline>
        </w:drawing>
      </w:r>
    </w:p>
    <w:p w14:paraId="3FD84E42" w14:textId="77777777" w:rsidR="00E74F3C" w:rsidRPr="00916805" w:rsidRDefault="00E74F3C" w:rsidP="00FF1C13">
      <w:pPr>
        <w:rPr>
          <w:rFonts w:ascii="Sylfaen" w:eastAsia="Times New Roman" w:hAnsi="Sylfaen" w:cs="Times New Roman"/>
          <w:b/>
          <w:bCs/>
          <w:i/>
          <w:iCs/>
          <w:caps/>
          <w:color w:val="4376B3"/>
          <w:lang w:val="en-US"/>
        </w:rPr>
      </w:pPr>
    </w:p>
    <w:p w14:paraId="66634098" w14:textId="35AF4FD4" w:rsidR="00333363" w:rsidRPr="00FF1C13" w:rsidRDefault="00076CF7" w:rsidP="00FF1C13">
      <w:pPr>
        <w:jc w:val="center"/>
        <w:rPr>
          <w:rFonts w:ascii="Sylfaen" w:eastAsia="Times New Roman" w:hAnsi="Sylfaen" w:cs="Times New Roman"/>
          <w:b/>
          <w:bCs/>
          <w:caps/>
          <w:color w:val="3366CC"/>
          <w:sz w:val="32"/>
          <w:szCs w:val="32"/>
          <w:lang w:val="en-US"/>
        </w:rPr>
      </w:pPr>
      <w:r>
        <w:rPr>
          <w:rFonts w:ascii="Sylfaen" w:eastAsia="Times New Roman" w:hAnsi="Sylfaen" w:cs="Times New Roman"/>
          <w:b/>
          <w:bCs/>
          <w:caps/>
          <w:noProof/>
          <w:color w:val="3366CC"/>
          <w:sz w:val="32"/>
          <w:szCs w:val="32"/>
        </w:rPr>
        <mc:AlternateContent>
          <mc:Choice Requires="wps">
            <w:drawing>
              <wp:anchor distT="0" distB="0" distL="114300" distR="114300" simplePos="0" relativeHeight="251658240" behindDoc="0" locked="0" layoutInCell="1" allowOverlap="1" wp14:anchorId="07F3C63C" wp14:editId="411AA16B">
                <wp:simplePos x="0" y="0"/>
                <wp:positionH relativeFrom="column">
                  <wp:posOffset>5715</wp:posOffset>
                </wp:positionH>
                <wp:positionV relativeFrom="paragraph">
                  <wp:posOffset>334645</wp:posOffset>
                </wp:positionV>
                <wp:extent cx="5953125" cy="0"/>
                <wp:effectExtent l="19050" t="27940" r="38100" b="48260"/>
                <wp:wrapNone/>
                <wp:docPr id="2059240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510CE" id="_x0000_t32" coordsize="21600,21600" o:spt="32" o:oned="t" path="m,l21600,21600e" filled="f">
                <v:path arrowok="t" fillok="f" o:connecttype="none"/>
                <o:lock v:ext="edit" shapetype="t"/>
              </v:shapetype>
              <v:shape id="AutoShape 2" o:spid="_x0000_s1026" type="#_x0000_t32" style="position:absolute;margin-left:.45pt;margin-top:26.3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a4KQIAAGcEAAAOAAAAZHJzL2Uyb0RvYy54bWysVE2P2yAQvVfqf0Dcu3aSZptYcfaQ7fay&#10;bSPtVj3PAo5RMYOAxMm/74DjKNvtqaoPCIb5eG9449XdsTPsoHzQaGs+uSk5U1ag1HZX8x/PDx8W&#10;nIUIVoJBq2p+UoHfrd+/W/WuUlNs0UjlGSWxoepdzdsYXVUUQbSqg3CDTlm6bNB3EOnod4X00FP2&#10;zhTTsrwtevTSeRQqBLLeD5d8nfM3jRLxe9MEFZmpOWGLefV5fUlrsV5BtfPgWi3OMOAfUHSgLRW9&#10;pLqHCGzv9ZtUnRYeAzbxRmBXYNNooTIHYjMp/2Dz1IJTmQs1J7hLm8L/Syu+HTZ26xN0cbRP7hHF&#10;r8AsblqwO5UBPJ8cPdwktaroXaguIekQ3Nazl/4rSvKBfcTchWPju5SS+LFjbvbp0mx1jEyQcb6c&#10;zybTOWdivCugGgOdD/GLwo6lTc1D9KB3bdygtfSk6Ce5DBweQ0ywoBoDUlWLD9qY/LLGsr7ms8Wk&#10;LHNEQKNluk1+WWRqYzw7AMkjHqfZx+w7ojPYbkv6BpGQmaQ0mD+OZqp8yZJxvCrgcW9lxtEqkJ/P&#10;+wjaDHuKNjYhUVmpRCY3bR+Vf2plz6RO5KeL2ZKmSGqS7WxR3pbLT5yB2dG8ieg58xh/6tjmt0pd&#10;/gs1EELZODTtmt585EFAruidGYNxLQyEL45vCOOINtO/IpK1kuSRZjFULyhPWz9qiNSc/c+Tl8bl&#10;+kz76//D+jcAAAD//wMAUEsDBBQABgAIAAAAIQCeDgC12wAAAAYBAAAPAAAAZHJzL2Rvd25yZXYu&#10;eG1sTI47T8MwFIV3JP6DdZHYqEPLIwlxKhSJATGQhlasTnxJrNrXUey24d9j1AHG89A5X7GerWFH&#10;nLx2JOB2kQBD6pzS1AvYfrzcpMB8kKSkcYQCvtHDury8KGSu3Ik2eGxCz+II+VwKGEIYc859N6CV&#10;fuFGpJh9ucnKEOXUczXJUxy3hi+T5IFbqSk+DHLEasBu3xysgDp93dd11Zix3ej33Vv/melqJcT1&#10;1fz8BCzgHP7K8Isf0aGMTK07kPLMCMhiT8D98hFYTLNVegesPRu8LPh//PIHAAD//wMAUEsBAi0A&#10;FAAGAAgAAAAhALaDOJL+AAAA4QEAABMAAAAAAAAAAAAAAAAAAAAAAFtDb250ZW50X1R5cGVzXS54&#10;bWxQSwECLQAUAAYACAAAACEAOP0h/9YAAACUAQAACwAAAAAAAAAAAAAAAAAvAQAAX3JlbHMvLnJl&#10;bHNQSwECLQAUAAYACAAAACEATUS2uCkCAABnBAAADgAAAAAAAAAAAAAAAAAuAgAAZHJzL2Uyb0Rv&#10;Yy54bWxQSwECLQAUAAYACAAAACEAng4AtdsAAAAGAQAADwAAAAAAAAAAAAAAAACDBAAAZHJzL2Rv&#10;d25yZXYueG1sUEsFBgAAAAAEAAQA8wAAAIsFAAAAAA==&#10;" strokecolor="#548dd4 [1951]" strokeweight="3pt">
                <v:shadow on="t" color="#243f60 [1604]" opacity=".5" offset="1pt"/>
              </v:shape>
            </w:pict>
          </mc:Fallback>
        </mc:AlternateContent>
      </w:r>
      <w:r w:rsidR="00333363" w:rsidRPr="00FF1C13">
        <w:rPr>
          <w:rFonts w:ascii="Sylfaen" w:eastAsia="Times New Roman" w:hAnsi="Sylfaen" w:cs="Times New Roman"/>
          <w:b/>
          <w:bCs/>
          <w:caps/>
          <w:color w:val="3366CC"/>
          <w:sz w:val="32"/>
          <w:szCs w:val="32"/>
          <w:lang w:val="en-US"/>
        </w:rPr>
        <w:t>Faculty of Public Health</w:t>
      </w:r>
    </w:p>
    <w:p w14:paraId="02284345" w14:textId="77777777" w:rsidR="00FF1C13" w:rsidRDefault="00FF1C13" w:rsidP="00FF1C13">
      <w:pPr>
        <w:jc w:val="center"/>
        <w:rPr>
          <w:rFonts w:ascii="Sylfaen" w:eastAsia="Times New Roman" w:hAnsi="Sylfaen" w:cs="Times New Roman"/>
          <w:b/>
          <w:bCs/>
          <w:i/>
          <w:iCs/>
          <w:caps/>
          <w:color w:val="4F81BD" w:themeColor="accent1"/>
          <w:lang w:val="en-US"/>
        </w:rPr>
      </w:pPr>
    </w:p>
    <w:p w14:paraId="5C568931" w14:textId="33CAB255" w:rsidR="00DC6A44" w:rsidRPr="00FF1C13" w:rsidRDefault="006C1ED2" w:rsidP="00FF1C13">
      <w:pPr>
        <w:jc w:val="center"/>
        <w:rPr>
          <w:rFonts w:ascii="Sylfaen" w:eastAsia="Times New Roman" w:hAnsi="Sylfaen" w:cs="Times New Roman"/>
          <w:b/>
          <w:bCs/>
          <w:i/>
          <w:iCs/>
          <w:caps/>
          <w:color w:val="4F81BD" w:themeColor="accent1"/>
          <w:sz w:val="32"/>
          <w:szCs w:val="32"/>
          <w:lang w:val="en-US"/>
        </w:rPr>
      </w:pPr>
      <w:r w:rsidRPr="00FF1C13">
        <w:rPr>
          <w:rFonts w:ascii="Sylfaen" w:eastAsia="Times New Roman" w:hAnsi="Sylfaen" w:cs="Times New Roman"/>
          <w:b/>
          <w:bCs/>
          <w:i/>
          <w:iCs/>
          <w:caps/>
          <w:color w:val="4F81BD" w:themeColor="accent1"/>
          <w:sz w:val="32"/>
          <w:szCs w:val="32"/>
          <w:lang w:val="en-US"/>
        </w:rPr>
        <w:t>M</w:t>
      </w:r>
      <w:r w:rsidR="001F7D7A" w:rsidRPr="00FF1C13">
        <w:rPr>
          <w:rFonts w:ascii="Sylfaen" w:eastAsia="Times New Roman" w:hAnsi="Sylfaen" w:cs="Times New Roman"/>
          <w:b/>
          <w:bCs/>
          <w:i/>
          <w:iCs/>
          <w:caps/>
          <w:color w:val="4F81BD" w:themeColor="accent1"/>
          <w:sz w:val="32"/>
          <w:szCs w:val="32"/>
          <w:lang w:val="en-US"/>
        </w:rPr>
        <w:t xml:space="preserve">PH </w:t>
      </w:r>
      <w:r w:rsidRPr="00FF1C13">
        <w:rPr>
          <w:rFonts w:ascii="Sylfaen" w:eastAsia="Times New Roman" w:hAnsi="Sylfaen" w:cs="Times New Roman"/>
          <w:b/>
          <w:bCs/>
          <w:i/>
          <w:iCs/>
          <w:caps/>
          <w:color w:val="4F81BD" w:themeColor="accent1"/>
          <w:sz w:val="32"/>
          <w:szCs w:val="32"/>
          <w:lang w:val="en-US"/>
        </w:rPr>
        <w:t>in</w:t>
      </w:r>
      <w:r w:rsidR="001F7D7A" w:rsidRPr="00FF1C13">
        <w:rPr>
          <w:rFonts w:ascii="Sylfaen" w:eastAsia="Times New Roman" w:hAnsi="Sylfaen" w:cs="Times New Roman"/>
          <w:b/>
          <w:bCs/>
          <w:i/>
          <w:iCs/>
          <w:caps/>
          <w:color w:val="4F81BD" w:themeColor="accent1"/>
          <w:sz w:val="32"/>
          <w:szCs w:val="32"/>
          <w:lang w:val="en-US"/>
        </w:rPr>
        <w:t xml:space="preserve"> healthcare</w:t>
      </w:r>
      <w:r w:rsidRPr="00FF1C13">
        <w:rPr>
          <w:rFonts w:ascii="Sylfaen" w:eastAsia="Times New Roman" w:hAnsi="Sylfaen" w:cs="Times New Roman"/>
          <w:b/>
          <w:bCs/>
          <w:i/>
          <w:iCs/>
          <w:caps/>
          <w:color w:val="4F81BD" w:themeColor="accent1"/>
          <w:sz w:val="32"/>
          <w:szCs w:val="32"/>
          <w:lang w:val="en-US"/>
        </w:rPr>
        <w:t xml:space="preserve"> </w:t>
      </w:r>
      <w:r w:rsidR="00DC6A44" w:rsidRPr="00FF1C13">
        <w:rPr>
          <w:rFonts w:ascii="Sylfaen" w:eastAsia="Times New Roman" w:hAnsi="Sylfaen" w:cs="Times New Roman"/>
          <w:b/>
          <w:bCs/>
          <w:i/>
          <w:iCs/>
          <w:caps/>
          <w:color w:val="4F81BD" w:themeColor="accent1"/>
          <w:sz w:val="32"/>
          <w:szCs w:val="32"/>
          <w:lang w:val="en-US"/>
        </w:rPr>
        <w:t xml:space="preserve">Planning and Management </w:t>
      </w:r>
      <w:r w:rsidR="001F7D7A" w:rsidRPr="00FF1C13">
        <w:rPr>
          <w:rFonts w:ascii="Sylfaen" w:eastAsia="Times New Roman" w:hAnsi="Sylfaen" w:cs="Times New Roman"/>
          <w:b/>
          <w:bCs/>
          <w:i/>
          <w:iCs/>
          <w:caps/>
          <w:color w:val="4F81BD" w:themeColor="accent1"/>
          <w:sz w:val="32"/>
          <w:szCs w:val="32"/>
          <w:lang w:val="en-US"/>
        </w:rPr>
        <w:t>program</w:t>
      </w:r>
    </w:p>
    <w:p w14:paraId="0068482D" w14:textId="27F459D7" w:rsidR="006C1ED2" w:rsidRPr="00FF1C13" w:rsidRDefault="001F7D7A" w:rsidP="00FF1C13">
      <w:pPr>
        <w:jc w:val="center"/>
        <w:rPr>
          <w:rFonts w:ascii="Sylfaen" w:eastAsia="Times New Roman" w:hAnsi="Sylfaen" w:cs="Times New Roman"/>
          <w:b/>
          <w:bCs/>
          <w:i/>
          <w:iCs/>
          <w:caps/>
          <w:color w:val="4F81BD" w:themeColor="accent1"/>
          <w:sz w:val="32"/>
          <w:szCs w:val="32"/>
          <w:lang w:val="en-US"/>
        </w:rPr>
      </w:pPr>
      <w:r w:rsidRPr="00FF1C13">
        <w:rPr>
          <w:rFonts w:ascii="Sylfaen" w:eastAsia="Times New Roman" w:hAnsi="Sylfaen" w:cs="Times New Roman"/>
          <w:b/>
          <w:bCs/>
          <w:i/>
          <w:iCs/>
          <w:caps/>
          <w:color w:val="4F81BD" w:themeColor="accent1"/>
          <w:sz w:val="32"/>
          <w:szCs w:val="32"/>
          <w:lang w:val="en-US"/>
        </w:rPr>
        <w:t>student</w:t>
      </w:r>
      <w:r w:rsidR="006C1ED2" w:rsidRPr="00FF1C13">
        <w:rPr>
          <w:rFonts w:ascii="Sylfaen" w:eastAsia="Times New Roman" w:hAnsi="Sylfaen" w:cs="Times New Roman"/>
          <w:b/>
          <w:bCs/>
          <w:i/>
          <w:iCs/>
          <w:caps/>
          <w:color w:val="4F81BD" w:themeColor="accent1"/>
          <w:sz w:val="32"/>
          <w:szCs w:val="32"/>
          <w:lang w:val="en-US"/>
        </w:rPr>
        <w:t xml:space="preserve"> Manual</w:t>
      </w:r>
      <w:r w:rsidRPr="00FF1C13">
        <w:rPr>
          <w:rFonts w:ascii="Sylfaen" w:eastAsia="Times New Roman" w:hAnsi="Sylfaen" w:cs="Times New Roman"/>
          <w:b/>
          <w:bCs/>
          <w:i/>
          <w:iCs/>
          <w:caps/>
          <w:color w:val="4F81BD" w:themeColor="accent1"/>
          <w:sz w:val="32"/>
          <w:szCs w:val="32"/>
          <w:lang w:val="en-US"/>
        </w:rPr>
        <w:t xml:space="preserve"> 202</w:t>
      </w:r>
      <w:r w:rsidR="009E58AA" w:rsidRPr="00FF1C13">
        <w:rPr>
          <w:rFonts w:ascii="Sylfaen" w:eastAsia="Times New Roman" w:hAnsi="Sylfaen" w:cs="Times New Roman"/>
          <w:b/>
          <w:bCs/>
          <w:i/>
          <w:iCs/>
          <w:caps/>
          <w:color w:val="4F81BD" w:themeColor="accent1"/>
          <w:sz w:val="32"/>
          <w:szCs w:val="32"/>
          <w:lang w:val="en-US"/>
        </w:rPr>
        <w:t>5</w:t>
      </w:r>
      <w:r w:rsidRPr="00FF1C13">
        <w:rPr>
          <w:rFonts w:ascii="Sylfaen" w:eastAsia="Times New Roman" w:hAnsi="Sylfaen" w:cs="Times New Roman"/>
          <w:b/>
          <w:bCs/>
          <w:i/>
          <w:iCs/>
          <w:caps/>
          <w:color w:val="4F81BD" w:themeColor="accent1"/>
          <w:sz w:val="32"/>
          <w:szCs w:val="32"/>
          <w:lang w:val="en-US"/>
        </w:rPr>
        <w:t>-202</w:t>
      </w:r>
      <w:r w:rsidR="009E58AA" w:rsidRPr="00FF1C13">
        <w:rPr>
          <w:rFonts w:ascii="Sylfaen" w:eastAsia="Times New Roman" w:hAnsi="Sylfaen" w:cs="Times New Roman"/>
          <w:b/>
          <w:bCs/>
          <w:i/>
          <w:iCs/>
          <w:caps/>
          <w:color w:val="4F81BD" w:themeColor="accent1"/>
          <w:sz w:val="32"/>
          <w:szCs w:val="32"/>
          <w:lang w:val="en-US"/>
        </w:rPr>
        <w:t>6</w:t>
      </w:r>
    </w:p>
    <w:p w14:paraId="79C0FE58"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16C96F38" w14:textId="77777777" w:rsidR="002E3D1A" w:rsidRPr="00916805" w:rsidRDefault="002E3D1A"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585DB9C9" w14:textId="77777777" w:rsidR="00E74F3C" w:rsidRPr="00916805" w:rsidRDefault="00E74F3C"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74E7A10A" w14:textId="77777777" w:rsidR="00E74F3C" w:rsidRDefault="00E74F3C"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369F7F06" w14:textId="77777777" w:rsidR="004F5ABA" w:rsidRDefault="004F5ABA"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5FE2F8F8" w14:textId="77777777" w:rsidR="004F5ABA" w:rsidRDefault="004F5ABA"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4BAA2B08" w14:textId="77777777" w:rsidR="004F5ABA" w:rsidRDefault="004F5ABA"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22332969" w14:textId="77777777" w:rsidR="004F5ABA" w:rsidRPr="00916805" w:rsidRDefault="004F5ABA" w:rsidP="00333363">
      <w:pPr>
        <w:spacing w:before="100" w:beforeAutospacing="1" w:after="100" w:afterAutospacing="1" w:line="240" w:lineRule="auto"/>
        <w:rPr>
          <w:rFonts w:ascii="Sylfaen" w:eastAsia="Times New Roman" w:hAnsi="Sylfaen" w:cs="Times New Roman"/>
          <w:b/>
          <w:bCs/>
          <w:iCs/>
          <w:caps/>
          <w:color w:val="4F81BD" w:themeColor="accent1"/>
          <w:lang w:val="en-US"/>
        </w:rPr>
      </w:pPr>
    </w:p>
    <w:p w14:paraId="55D5659C" w14:textId="44BC6070" w:rsidR="00FF1C13" w:rsidRPr="00FF1C13" w:rsidRDefault="00076CF7" w:rsidP="00FF1C13">
      <w:pPr>
        <w:pStyle w:val="Heading1"/>
        <w:jc w:val="center"/>
        <w:rPr>
          <w:u w:val="none"/>
          <w:lang w:val="en-US"/>
        </w:rPr>
      </w:pPr>
      <w:r>
        <w:rPr>
          <w:noProof/>
          <w:u w:val="none"/>
        </w:rPr>
        <w:lastRenderedPageBreak/>
        <mc:AlternateContent>
          <mc:Choice Requires="wps">
            <w:drawing>
              <wp:anchor distT="0" distB="0" distL="114300" distR="114300" simplePos="0" relativeHeight="251665408" behindDoc="0" locked="0" layoutInCell="1" allowOverlap="1" wp14:anchorId="3F55B389" wp14:editId="6B9B6D48">
                <wp:simplePos x="0" y="0"/>
                <wp:positionH relativeFrom="column">
                  <wp:posOffset>1186815</wp:posOffset>
                </wp:positionH>
                <wp:positionV relativeFrom="paragraph">
                  <wp:posOffset>254635</wp:posOffset>
                </wp:positionV>
                <wp:extent cx="3867150" cy="635"/>
                <wp:effectExtent l="19050" t="19050" r="38100" b="46990"/>
                <wp:wrapNone/>
                <wp:docPr id="18679749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635"/>
                        </a:xfrm>
                        <a:prstGeom prst="straightConnector1">
                          <a:avLst/>
                        </a:prstGeom>
                        <a:noFill/>
                        <a:ln w="38100">
                          <a:solidFill>
                            <a:schemeClr val="accent1">
                              <a:lumMod val="100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F6A30" id="AutoShape 13" o:spid="_x0000_s1026" type="#_x0000_t32" style="position:absolute;margin-left:93.45pt;margin-top:20.05pt;width:304.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W9JAIAAGoEAAAOAAAAZHJzL2Uyb0RvYy54bWysVMFu2zAMvQ/YPwi+L7YTJE2NOD2k6y7d&#10;ViAddmYk2RYmi4KkxMnfj5KTIFuxHYb5IEik+MhHPXr1cOw1O0jnFZo6KydFxqThKJRp6+zb69OH&#10;ZcZ8ACNAo5F1dpI+e1i/f7cabCWn2KEW0jECMb4abJ11Idgqzz3vZA9+glYacjboegh0dG0uHAyE&#10;3ut8WhSLfEAnrEMuvSfr4+jM1gm/aSQPX5vGy8B0nVFtIa0urbu45usVVK0D2yl+LgP+oYoelKGk&#10;V6hHCMD2Tr2B6hV36LEJE459jk2juEwciE1Z/MZm24GViQs1x9trm/z/g+VfDhvz4mLp/Gi29hn5&#10;D88MbjowrUwFvJ4sPVwZW5UP1lfXkHjw9sWx3fAZBd2BfcDUhWPj+ghJ/NgxNft0bbY8BsbJOFsu&#10;7so5vQkn32I2T/hQXUKt8+GTxJ7FTZ354EC1XdigMfSo6MqUCA7PPsTCoLoExLwGn5TW6W21YUNM&#10;VhZFivColYjeeC/JTG60YwcggQDn0oQRWe97IjXaKZa+UStkJ0WN9mSi1FeYVMgvGRzujUiFdBLE&#10;x/M+gNLjnqK1iaXIJFZik/q2D9JtOzEwoSL76XJ2T4MkFCl3tiwWxf1dxkC3NHI8uIw5DN9V6NJz&#10;xUb/kds8uW65zf9CDSrQtoOR7PXiG8J4qTbRvyGS5BIVEsfRVzsUpxd3kREJOt0/D1+cmNsz7W9/&#10;EeufAAAA//8DAFBLAwQUAAYACAAAACEAgoWI690AAAAJAQAADwAAAGRycy9kb3ducmV2LnhtbEyP&#10;wU7DMBBE70j8g7VI3KidCtI0xKkqBBckkFqKenXiJYmI11HsNuHv2Z7gOLNPszPFZna9OOMYOk8a&#10;koUCgVR721Gj4fDxcpeBCNGQNb0n1PCDATbl9VVhcusn2uF5HxvBIRRyo6GNccilDHWLzoSFH5D4&#10;9uVHZyLLsZF2NBOHu14ulUqlMx3xh9YM+NRi/b0/OQ3bHR7S49vnaxbfn5NJqlV1zCqtb2/m7SOI&#10;iHP8g+FSn6tDyZ0qfyIbRM86S9eMarhXCQgGVusHNqqLsQRZFvL/gvIXAAD//wMAUEsBAi0AFAAG&#10;AAgAAAAhALaDOJL+AAAA4QEAABMAAAAAAAAAAAAAAAAAAAAAAFtDb250ZW50X1R5cGVzXS54bWxQ&#10;SwECLQAUAAYACAAAACEAOP0h/9YAAACUAQAACwAAAAAAAAAAAAAAAAAvAQAAX3JlbHMvLnJlbHNQ&#10;SwECLQAUAAYACAAAACEAd86FvSQCAABqBAAADgAAAAAAAAAAAAAAAAAuAgAAZHJzL2Uyb0RvYy54&#10;bWxQSwECLQAUAAYACAAAACEAgoWI690AAAAJAQAADwAAAAAAAAAAAAAAAAB+BAAAZHJzL2Rvd25y&#10;ZXYueG1sUEsFBgAAAAAEAAQA8wAAAIgFAAAAAA==&#10;" strokecolor="#4f81bd [3204]" strokeweight="3pt">
                <v:shadow on="t" color="#205867 [1608]" opacity=".5" offset="1pt"/>
              </v:shape>
            </w:pict>
          </mc:Fallback>
        </mc:AlternateContent>
      </w:r>
      <w:r w:rsidR="00FF1C13" w:rsidRPr="00FF1C13">
        <w:rPr>
          <w:u w:val="none"/>
          <w:lang w:val="en-US"/>
        </w:rPr>
        <w:t>TABLE OF CONTENTS</w:t>
      </w:r>
    </w:p>
    <w:p w14:paraId="0D47C835" w14:textId="77777777" w:rsidR="00EB20AC" w:rsidRPr="00916805" w:rsidRDefault="00EB20AC" w:rsidP="00D7145D">
      <w:pPr>
        <w:spacing w:after="0" w:line="240" w:lineRule="auto"/>
        <w:jc w:val="center"/>
        <w:rPr>
          <w:rFonts w:ascii="Sylfaen" w:eastAsia="Times New Roman" w:hAnsi="Sylfaen" w:cs="Times New Roman"/>
          <w:b/>
          <w:bCs/>
          <w:i/>
          <w:caps/>
          <w:color w:val="4F81BD" w:themeColor="accent1"/>
          <w:lang w:val="en-US"/>
        </w:rPr>
      </w:pPr>
    </w:p>
    <w:p w14:paraId="65E6A30B" w14:textId="5A3AD29B" w:rsidR="00FF1C13" w:rsidRPr="00FF1C13" w:rsidRDefault="006E6505">
      <w:pPr>
        <w:pStyle w:val="TOC1"/>
        <w:tabs>
          <w:tab w:val="right" w:leader="dot" w:pos="9880"/>
        </w:tabs>
        <w:rPr>
          <w:noProof/>
          <w:color w:val="4F81BD" w:themeColor="accent1"/>
          <w:kern w:val="2"/>
          <w:sz w:val="24"/>
          <w:szCs w:val="24"/>
          <w:lang w:val="en-US" w:eastAsia="en-US"/>
          <w14:ligatures w14:val="standardContextual"/>
        </w:rPr>
      </w:pPr>
      <w:r>
        <w:rPr>
          <w:rFonts w:ascii="Sylfaen" w:eastAsia="Times New Roman" w:hAnsi="Sylfaen" w:cs="Times New Roman"/>
          <w:b/>
          <w:bCs/>
          <w:iCs/>
          <w:caps/>
          <w:lang w:val="en-US"/>
        </w:rPr>
        <w:fldChar w:fldCharType="begin"/>
      </w:r>
      <w:r>
        <w:rPr>
          <w:rFonts w:ascii="Sylfaen" w:eastAsia="Times New Roman" w:hAnsi="Sylfaen" w:cs="Times New Roman"/>
          <w:b/>
          <w:bCs/>
          <w:iCs/>
          <w:caps/>
          <w:lang w:val="en-US"/>
        </w:rPr>
        <w:instrText xml:space="preserve"> TOC \o "1-3" \h \z \u </w:instrText>
      </w:r>
      <w:r>
        <w:rPr>
          <w:rFonts w:ascii="Sylfaen" w:eastAsia="Times New Roman" w:hAnsi="Sylfaen" w:cs="Times New Roman"/>
          <w:b/>
          <w:bCs/>
          <w:iCs/>
          <w:caps/>
          <w:lang w:val="en-US"/>
        </w:rPr>
        <w:fldChar w:fldCharType="separate"/>
      </w:r>
      <w:hyperlink w:anchor="_Toc207988625" w:history="1">
        <w:r w:rsidR="00FF1C13" w:rsidRPr="00FF1C13">
          <w:rPr>
            <w:rStyle w:val="Hyperlink"/>
            <w:noProof/>
            <w:color w:val="4F81BD" w:themeColor="accent1"/>
          </w:rPr>
          <w:t>2025-2026 ACADEMIC YEAR CALENDAR</w:t>
        </w:r>
        <w:r w:rsidR="00FF1C13" w:rsidRPr="00FF1C13">
          <w:rPr>
            <w:noProof/>
            <w:webHidden/>
            <w:color w:val="4F81BD" w:themeColor="accent1"/>
          </w:rPr>
          <w:tab/>
        </w:r>
        <w:r w:rsidR="00FF1C13" w:rsidRPr="00FF1C13">
          <w:rPr>
            <w:noProof/>
            <w:webHidden/>
            <w:color w:val="4F81BD" w:themeColor="accent1"/>
          </w:rPr>
          <w:fldChar w:fldCharType="begin"/>
        </w:r>
        <w:r w:rsidR="00FF1C13" w:rsidRPr="00FF1C13">
          <w:rPr>
            <w:noProof/>
            <w:webHidden/>
            <w:color w:val="4F81BD" w:themeColor="accent1"/>
          </w:rPr>
          <w:instrText xml:space="preserve"> PAGEREF _Toc207988625 \h </w:instrText>
        </w:r>
        <w:r w:rsidR="00FF1C13" w:rsidRPr="00FF1C13">
          <w:rPr>
            <w:noProof/>
            <w:webHidden/>
            <w:color w:val="4F81BD" w:themeColor="accent1"/>
          </w:rPr>
        </w:r>
        <w:r w:rsidR="00FF1C13" w:rsidRPr="00FF1C13">
          <w:rPr>
            <w:noProof/>
            <w:webHidden/>
            <w:color w:val="4F81BD" w:themeColor="accent1"/>
          </w:rPr>
          <w:fldChar w:fldCharType="separate"/>
        </w:r>
        <w:r w:rsidR="00076CF7">
          <w:rPr>
            <w:noProof/>
            <w:webHidden/>
            <w:color w:val="4F81BD" w:themeColor="accent1"/>
          </w:rPr>
          <w:t>3</w:t>
        </w:r>
        <w:r w:rsidR="00FF1C13" w:rsidRPr="00FF1C13">
          <w:rPr>
            <w:noProof/>
            <w:webHidden/>
            <w:color w:val="4F81BD" w:themeColor="accent1"/>
          </w:rPr>
          <w:fldChar w:fldCharType="end"/>
        </w:r>
      </w:hyperlink>
    </w:p>
    <w:p w14:paraId="5C09D24C" w14:textId="77ED1034" w:rsidR="00FF1C13" w:rsidRPr="00FF1C13" w:rsidRDefault="00FF1C13">
      <w:pPr>
        <w:pStyle w:val="TOC1"/>
        <w:tabs>
          <w:tab w:val="right" w:leader="dot" w:pos="9880"/>
        </w:tabs>
        <w:rPr>
          <w:noProof/>
          <w:color w:val="4F81BD" w:themeColor="accent1"/>
          <w:kern w:val="2"/>
          <w:sz w:val="24"/>
          <w:szCs w:val="24"/>
          <w:lang w:val="en-US" w:eastAsia="en-US"/>
          <w14:ligatures w14:val="standardContextual"/>
        </w:rPr>
      </w:pPr>
      <w:hyperlink w:anchor="_Toc207988626" w:history="1">
        <w:r w:rsidRPr="00FF1C13">
          <w:rPr>
            <w:rStyle w:val="Hyperlink"/>
            <w:noProof/>
            <w:color w:val="4F81BD" w:themeColor="accent1"/>
            <w:lang w:val="en-US"/>
          </w:rPr>
          <w:t>DEAN’S OFFICE OF THE FACULTY OF PUBLIC HEALTH</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_Toc207988626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4</w:t>
        </w:r>
        <w:r w:rsidRPr="00FF1C13">
          <w:rPr>
            <w:noProof/>
            <w:webHidden/>
            <w:color w:val="4F81BD" w:themeColor="accent1"/>
          </w:rPr>
          <w:fldChar w:fldCharType="end"/>
        </w:r>
      </w:hyperlink>
    </w:p>
    <w:p w14:paraId="7FD581FA" w14:textId="47156CE3" w:rsidR="00FF1C13" w:rsidRPr="00FF1C13" w:rsidRDefault="00FF1C13">
      <w:pPr>
        <w:pStyle w:val="TOC1"/>
        <w:tabs>
          <w:tab w:val="right" w:leader="dot" w:pos="9880"/>
        </w:tabs>
        <w:rPr>
          <w:noProof/>
          <w:color w:val="4F81BD" w:themeColor="accent1"/>
          <w:kern w:val="2"/>
          <w:sz w:val="24"/>
          <w:szCs w:val="24"/>
          <w:lang w:val="en-US" w:eastAsia="en-US"/>
          <w14:ligatures w14:val="standardContextual"/>
        </w:rPr>
      </w:pPr>
      <w:hyperlink w:anchor="_Toc207988627" w:history="1">
        <w:r w:rsidRPr="00FF1C13">
          <w:rPr>
            <w:rStyle w:val="Hyperlink"/>
            <w:noProof/>
            <w:color w:val="4F81BD" w:themeColor="accent1"/>
          </w:rPr>
          <w:t>PROGRAM OVERVIEW</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_Toc207988627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5</w:t>
        </w:r>
        <w:r w:rsidRPr="00FF1C13">
          <w:rPr>
            <w:noProof/>
            <w:webHidden/>
            <w:color w:val="4F81BD" w:themeColor="accent1"/>
          </w:rPr>
          <w:fldChar w:fldCharType="end"/>
        </w:r>
      </w:hyperlink>
    </w:p>
    <w:p w14:paraId="3CE841E4" w14:textId="36A39AD4"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28" w:history="1">
        <w:r w:rsidRPr="00FF1C13">
          <w:rPr>
            <w:rStyle w:val="Hyperlink"/>
            <w:rFonts w:eastAsia="Calibri"/>
            <w:noProof/>
            <w:color w:val="4F81BD" w:themeColor="accent1"/>
            <w:lang w:val="en-US" w:eastAsia="en-US"/>
          </w:rPr>
          <w:t>Objectives</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_Toc207988628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5</w:t>
        </w:r>
        <w:r w:rsidRPr="00FF1C13">
          <w:rPr>
            <w:noProof/>
            <w:webHidden/>
            <w:color w:val="4F81BD" w:themeColor="accent1"/>
          </w:rPr>
          <w:fldChar w:fldCharType="end"/>
        </w:r>
      </w:hyperlink>
    </w:p>
    <w:p w14:paraId="35349B39" w14:textId="08057E93"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29" w:history="1">
        <w:r w:rsidRPr="00FF1C13">
          <w:rPr>
            <w:rStyle w:val="Hyperlink"/>
            <w:rFonts w:eastAsia="Calibri"/>
            <w:noProof/>
            <w:color w:val="4F81BD" w:themeColor="accent1"/>
            <w:lang w:val="en-US" w:eastAsia="en-US"/>
          </w:rPr>
          <w:t>Program competences and learning outcomes</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_Toc207988629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6</w:t>
        </w:r>
        <w:r w:rsidRPr="00FF1C13">
          <w:rPr>
            <w:noProof/>
            <w:webHidden/>
            <w:color w:val="4F81BD" w:themeColor="accent1"/>
          </w:rPr>
          <w:fldChar w:fldCharType="end"/>
        </w:r>
      </w:hyperlink>
    </w:p>
    <w:p w14:paraId="3E33B9EA" w14:textId="7B443F1C"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30" w:history="1">
        <w:r w:rsidRPr="00FF1C13">
          <w:rPr>
            <w:rStyle w:val="Hyperlink"/>
            <w:rFonts w:eastAsia="Calibri"/>
            <w:noProof/>
            <w:color w:val="4F81BD" w:themeColor="accent1"/>
            <w:lang w:val="en-US" w:eastAsia="en-US"/>
          </w:rPr>
          <w:t>Timetable &amp; Structure</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_Toc207988630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7</w:t>
        </w:r>
        <w:r w:rsidRPr="00FF1C13">
          <w:rPr>
            <w:noProof/>
            <w:webHidden/>
            <w:color w:val="4F81BD" w:themeColor="accent1"/>
          </w:rPr>
          <w:fldChar w:fldCharType="end"/>
        </w:r>
      </w:hyperlink>
    </w:p>
    <w:p w14:paraId="61702889" w14:textId="6988678B"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31" w:history="1">
        <w:r w:rsidRPr="00FF1C13">
          <w:rPr>
            <w:rStyle w:val="Hyperlink"/>
            <w:rFonts w:eastAsia="Calibri"/>
            <w:noProof/>
            <w:color w:val="4F81BD" w:themeColor="accent1"/>
            <w:lang w:val="en-US" w:eastAsia="en-US"/>
          </w:rPr>
          <w:t>Summary of Graduation Requirements</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_Toc207988631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9</w:t>
        </w:r>
        <w:r w:rsidRPr="00FF1C13">
          <w:rPr>
            <w:noProof/>
            <w:webHidden/>
            <w:color w:val="4F81BD" w:themeColor="accent1"/>
          </w:rPr>
          <w:fldChar w:fldCharType="end"/>
        </w:r>
      </w:hyperlink>
    </w:p>
    <w:p w14:paraId="26D00A81" w14:textId="71FCD2E3"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32" w:history="1">
        <w:r w:rsidRPr="00FF1C13">
          <w:rPr>
            <w:rStyle w:val="Hyperlink"/>
            <w:rFonts w:eastAsia="Calibri"/>
            <w:noProof/>
            <w:color w:val="4F81BD" w:themeColor="accent1"/>
            <w:lang w:val="en-US" w:eastAsia="en-US"/>
          </w:rPr>
          <w:t>Academic Standards</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_Toc207988632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9</w:t>
        </w:r>
        <w:r w:rsidRPr="00FF1C13">
          <w:rPr>
            <w:noProof/>
            <w:webHidden/>
            <w:color w:val="4F81BD" w:themeColor="accent1"/>
          </w:rPr>
          <w:fldChar w:fldCharType="end"/>
        </w:r>
      </w:hyperlink>
    </w:p>
    <w:p w14:paraId="162FBE93" w14:textId="4FF2FADB" w:rsidR="00FF1C13" w:rsidRPr="00FF1C13" w:rsidRDefault="00FF1C13">
      <w:pPr>
        <w:pStyle w:val="TOC1"/>
        <w:tabs>
          <w:tab w:val="right" w:leader="dot" w:pos="9880"/>
        </w:tabs>
        <w:rPr>
          <w:noProof/>
          <w:color w:val="4F81BD" w:themeColor="accent1"/>
          <w:kern w:val="2"/>
          <w:sz w:val="24"/>
          <w:szCs w:val="24"/>
          <w:lang w:val="en-US" w:eastAsia="en-US"/>
          <w14:ligatures w14:val="standardContextual"/>
        </w:rPr>
      </w:pPr>
      <w:hyperlink w:anchor="_Toc207988633" w:history="1">
        <w:r w:rsidRPr="00FF1C13">
          <w:rPr>
            <w:rStyle w:val="Hyperlink"/>
            <w:noProof/>
            <w:color w:val="4F81BD" w:themeColor="accent1"/>
          </w:rPr>
          <w:t>MPH IN HEALTHCARE PLANNING AND MANAGEMENT PROGRAM CURRICULUM</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_Toc207988633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11</w:t>
        </w:r>
        <w:r w:rsidRPr="00FF1C13">
          <w:rPr>
            <w:noProof/>
            <w:webHidden/>
            <w:color w:val="4F81BD" w:themeColor="accent1"/>
          </w:rPr>
          <w:fldChar w:fldCharType="end"/>
        </w:r>
      </w:hyperlink>
    </w:p>
    <w:p w14:paraId="40AEBA5C" w14:textId="66CC8E93" w:rsidR="00FF1C13" w:rsidRPr="00FF1C13" w:rsidRDefault="00FF1C13">
      <w:pPr>
        <w:pStyle w:val="TOC1"/>
        <w:tabs>
          <w:tab w:val="right" w:leader="dot" w:pos="9880"/>
        </w:tabs>
        <w:rPr>
          <w:noProof/>
          <w:color w:val="4F81BD" w:themeColor="accent1"/>
          <w:kern w:val="2"/>
          <w:sz w:val="24"/>
          <w:szCs w:val="24"/>
          <w:lang w:val="en-US" w:eastAsia="en-US"/>
          <w14:ligatures w14:val="standardContextual"/>
        </w:rPr>
      </w:pPr>
      <w:hyperlink w:anchor="_Toc207988634" w:history="1">
        <w:r w:rsidRPr="00FF1C13">
          <w:rPr>
            <w:rStyle w:val="Hyperlink"/>
            <w:rFonts w:eastAsia="Calibri"/>
            <w:noProof/>
            <w:color w:val="4F81BD" w:themeColor="accent1"/>
            <w:lang w:val="en-US" w:eastAsia="en-US"/>
          </w:rPr>
          <w:t>COURSE DESCRIPTIONS</w:t>
        </w:r>
        <w:r w:rsidRPr="00FF1C13">
          <w:rPr>
            <w:noProof/>
            <w:webHidden/>
            <w:color w:val="4F81BD" w:themeColor="accent1"/>
          </w:rPr>
          <w:tab/>
        </w:r>
        <w:r w:rsidRPr="00FF1C13">
          <w:rPr>
            <w:noProof/>
            <w:webHidden/>
            <w:color w:val="4F81BD" w:themeColor="accent1"/>
          </w:rPr>
          <w:fldChar w:fldCharType="begin"/>
        </w:r>
        <w:r w:rsidRPr="00FF1C13">
          <w:rPr>
            <w:noProof/>
            <w:webHidden/>
            <w:color w:val="4F81BD" w:themeColor="accent1"/>
          </w:rPr>
          <w:instrText xml:space="preserve"> PAGEREF _Toc207988634 \h </w:instrText>
        </w:r>
        <w:r w:rsidRPr="00FF1C13">
          <w:rPr>
            <w:noProof/>
            <w:webHidden/>
            <w:color w:val="4F81BD" w:themeColor="accent1"/>
          </w:rPr>
        </w:r>
        <w:r w:rsidRPr="00FF1C13">
          <w:rPr>
            <w:noProof/>
            <w:webHidden/>
            <w:color w:val="4F81BD" w:themeColor="accent1"/>
          </w:rPr>
          <w:fldChar w:fldCharType="separate"/>
        </w:r>
        <w:r w:rsidR="00076CF7">
          <w:rPr>
            <w:noProof/>
            <w:webHidden/>
            <w:color w:val="4F81BD" w:themeColor="accent1"/>
          </w:rPr>
          <w:t>14</w:t>
        </w:r>
        <w:r w:rsidRPr="00FF1C13">
          <w:rPr>
            <w:noProof/>
            <w:webHidden/>
            <w:color w:val="4F81BD" w:themeColor="accent1"/>
          </w:rPr>
          <w:fldChar w:fldCharType="end"/>
        </w:r>
      </w:hyperlink>
    </w:p>
    <w:p w14:paraId="68FC5B54" w14:textId="54F4D087" w:rsidR="00D82D96" w:rsidRPr="00D82D96" w:rsidRDefault="00D82D96" w:rsidP="00D82D96">
      <w:pPr>
        <w:pStyle w:val="TOC1"/>
        <w:tabs>
          <w:tab w:val="right" w:leader="dot" w:pos="9880"/>
        </w:tabs>
        <w:rPr>
          <w:noProof/>
          <w:kern w:val="2"/>
          <w:sz w:val="24"/>
          <w:szCs w:val="24"/>
          <w:lang w:val="en-US" w:eastAsia="en-US"/>
        </w:rPr>
      </w:pPr>
      <w:hyperlink w:anchor="_Toc207988638" w:history="1">
        <w:r w:rsidRPr="00FF1C13">
          <w:rPr>
            <w:rStyle w:val="Hyperlink"/>
            <w:noProof/>
            <w:color w:val="4F81BD" w:themeColor="accent1"/>
          </w:rPr>
          <w:t>INTEGRATING EXPERIENCE</w:t>
        </w:r>
        <w:r w:rsidRPr="00FF1C13">
          <w:rPr>
            <w:noProof/>
            <w:webHidden/>
            <w:color w:val="4F81BD" w:themeColor="accent1"/>
          </w:rPr>
          <w:tab/>
        </w:r>
        <w:r w:rsidR="00DA6DF8">
          <w:rPr>
            <w:noProof/>
            <w:webHidden/>
            <w:color w:val="4F81BD" w:themeColor="accent1"/>
            <w:lang w:val="en-US"/>
          </w:rPr>
          <w:t>69</w:t>
        </w:r>
      </w:hyperlink>
    </w:p>
    <w:p w14:paraId="3884D60D" w14:textId="0031AC71" w:rsidR="00D82D96" w:rsidRPr="00D82D96" w:rsidRDefault="00D82D96" w:rsidP="00D82D96">
      <w:pPr>
        <w:pStyle w:val="TOC1"/>
        <w:tabs>
          <w:tab w:val="right" w:leader="dot" w:pos="9880"/>
        </w:tabs>
        <w:rPr>
          <w:noProof/>
          <w:color w:val="4F81BD" w:themeColor="accent1"/>
          <w:kern w:val="2"/>
          <w:sz w:val="24"/>
          <w:szCs w:val="24"/>
          <w:lang w:val="en-US" w:eastAsia="en-US"/>
        </w:rPr>
      </w:pPr>
      <w:hyperlink w:anchor="_Toc207988635" w:history="1">
        <w:r w:rsidRPr="00FF1C13">
          <w:rPr>
            <w:rStyle w:val="Hyperlink"/>
            <w:rFonts w:eastAsia="Times New Roman"/>
            <w:noProof/>
            <w:color w:val="4F81BD" w:themeColor="accent1"/>
            <w:lang w:val="en-US"/>
          </w:rPr>
          <w:t>ROLES AND RESPONSIBILITIES OF MPH STUDENTS</w:t>
        </w:r>
        <w:r w:rsidRPr="00FF1C13">
          <w:rPr>
            <w:noProof/>
            <w:webHidden/>
            <w:color w:val="4F81BD" w:themeColor="accent1"/>
          </w:rPr>
          <w:tab/>
        </w:r>
        <w:r w:rsidR="00E21C9F">
          <w:rPr>
            <w:noProof/>
            <w:webHidden/>
            <w:color w:val="4F81BD" w:themeColor="accent1"/>
            <w:lang w:val="en-US"/>
          </w:rPr>
          <w:t>7</w:t>
        </w:r>
        <w:r w:rsidR="00DA6DF8">
          <w:rPr>
            <w:noProof/>
            <w:webHidden/>
            <w:color w:val="4F81BD" w:themeColor="accent1"/>
            <w:lang w:val="en-US"/>
          </w:rPr>
          <w:t>0</w:t>
        </w:r>
      </w:hyperlink>
    </w:p>
    <w:p w14:paraId="76611E0B" w14:textId="02FE066F" w:rsidR="00FF1C13" w:rsidRPr="00FF1C13" w:rsidRDefault="00FF1C13">
      <w:pPr>
        <w:pStyle w:val="TOC1"/>
        <w:tabs>
          <w:tab w:val="right" w:leader="dot" w:pos="9880"/>
        </w:tabs>
        <w:rPr>
          <w:noProof/>
          <w:color w:val="4F81BD" w:themeColor="accent1"/>
          <w:kern w:val="2"/>
          <w:sz w:val="24"/>
          <w:szCs w:val="24"/>
          <w:lang w:val="en-US" w:eastAsia="en-US"/>
          <w14:ligatures w14:val="standardContextual"/>
        </w:rPr>
      </w:pPr>
      <w:hyperlink w:anchor="_Toc207988636" w:history="1">
        <w:r w:rsidRPr="00FF1C13">
          <w:rPr>
            <w:rStyle w:val="Hyperlink"/>
            <w:rFonts w:eastAsia="Times New Roman"/>
            <w:noProof/>
            <w:color w:val="4F81BD" w:themeColor="accent1"/>
            <w:lang w:val="en-US"/>
          </w:rPr>
          <w:t>GRADING WITHIN THE MPH PROGRAM</w:t>
        </w:r>
        <w:r w:rsidRPr="00FF1C13">
          <w:rPr>
            <w:noProof/>
            <w:webHidden/>
            <w:color w:val="4F81BD" w:themeColor="accent1"/>
          </w:rPr>
          <w:tab/>
        </w:r>
        <w:r w:rsidR="00E21C9F">
          <w:rPr>
            <w:noProof/>
            <w:webHidden/>
            <w:color w:val="4F81BD" w:themeColor="accent1"/>
            <w:lang w:val="en-US"/>
          </w:rPr>
          <w:t>7</w:t>
        </w:r>
        <w:r w:rsidR="00DA6DF8">
          <w:rPr>
            <w:noProof/>
            <w:webHidden/>
            <w:color w:val="4F81BD" w:themeColor="accent1"/>
            <w:lang w:val="en-US"/>
          </w:rPr>
          <w:t>1</w:t>
        </w:r>
      </w:hyperlink>
    </w:p>
    <w:p w14:paraId="06CA865C" w14:textId="2E3A9AB0" w:rsidR="00FF1C13" w:rsidRPr="00FF1C13" w:rsidRDefault="00FF1C13">
      <w:pPr>
        <w:pStyle w:val="TOC2"/>
        <w:tabs>
          <w:tab w:val="right" w:leader="dot" w:pos="9880"/>
        </w:tabs>
        <w:rPr>
          <w:noProof/>
          <w:color w:val="4F81BD" w:themeColor="accent1"/>
          <w:kern w:val="2"/>
          <w:sz w:val="24"/>
          <w:szCs w:val="24"/>
          <w:lang w:val="en-US" w:eastAsia="en-US"/>
          <w14:ligatures w14:val="standardContextual"/>
        </w:rPr>
      </w:pPr>
      <w:hyperlink w:anchor="_Toc207988637" w:history="1">
        <w:r w:rsidRPr="00FF1C13">
          <w:rPr>
            <w:rStyle w:val="Hyperlink"/>
            <w:rFonts w:eastAsia="Calibri"/>
            <w:noProof/>
            <w:color w:val="4F81BD" w:themeColor="accent1"/>
            <w:lang w:eastAsia="en-US"/>
          </w:rPr>
          <w:t>Grade Appeals and Review Procedure</w:t>
        </w:r>
        <w:r w:rsidRPr="00FF1C13">
          <w:rPr>
            <w:noProof/>
            <w:webHidden/>
            <w:color w:val="4F81BD" w:themeColor="accent1"/>
          </w:rPr>
          <w:tab/>
        </w:r>
        <w:r w:rsidR="00E21C9F">
          <w:rPr>
            <w:noProof/>
            <w:webHidden/>
            <w:color w:val="4F81BD" w:themeColor="accent1"/>
            <w:lang w:val="en-US"/>
          </w:rPr>
          <w:t>7</w:t>
        </w:r>
        <w:r w:rsidR="00DA6DF8">
          <w:rPr>
            <w:noProof/>
            <w:webHidden/>
            <w:color w:val="4F81BD" w:themeColor="accent1"/>
            <w:lang w:val="en-US"/>
          </w:rPr>
          <w:t>1</w:t>
        </w:r>
      </w:hyperlink>
    </w:p>
    <w:p w14:paraId="674FCB49" w14:textId="33F9E451" w:rsidR="00212DD5" w:rsidRPr="00916805" w:rsidRDefault="006E6505" w:rsidP="00333363">
      <w:pPr>
        <w:spacing w:before="100" w:beforeAutospacing="1" w:after="100" w:afterAutospacing="1" w:line="240" w:lineRule="auto"/>
        <w:rPr>
          <w:rFonts w:ascii="Sylfaen" w:eastAsia="Times New Roman" w:hAnsi="Sylfaen" w:cs="Times New Roman"/>
          <w:b/>
          <w:bCs/>
          <w:iCs/>
          <w:caps/>
          <w:lang w:val="en-US"/>
        </w:rPr>
      </w:pPr>
      <w:r>
        <w:rPr>
          <w:rFonts w:ascii="Sylfaen" w:eastAsia="Times New Roman" w:hAnsi="Sylfaen" w:cs="Times New Roman"/>
          <w:b/>
          <w:bCs/>
          <w:iCs/>
          <w:caps/>
          <w:lang w:val="en-US"/>
        </w:rPr>
        <w:fldChar w:fldCharType="end"/>
      </w:r>
    </w:p>
    <w:p w14:paraId="79EC55CD"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16DF1CA6"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2075BF8D"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67262249"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7D8EE60A"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423DBFAA" w14:textId="77777777" w:rsidR="00212DD5" w:rsidRPr="00916805" w:rsidRDefault="00212DD5" w:rsidP="00333363">
      <w:pPr>
        <w:spacing w:before="100" w:beforeAutospacing="1" w:after="100" w:afterAutospacing="1" w:line="240" w:lineRule="auto"/>
        <w:rPr>
          <w:rFonts w:ascii="Sylfaen" w:eastAsia="Times New Roman" w:hAnsi="Sylfaen" w:cs="Times New Roman"/>
          <w:b/>
          <w:bCs/>
          <w:iCs/>
          <w:caps/>
          <w:lang w:val="en-US"/>
        </w:rPr>
      </w:pPr>
    </w:p>
    <w:p w14:paraId="441EC364" w14:textId="3124EF3A" w:rsidR="002A6318" w:rsidRPr="00916805" w:rsidRDefault="002A6318">
      <w:pPr>
        <w:rPr>
          <w:rFonts w:ascii="Sylfaen" w:eastAsia="Times New Roman" w:hAnsi="Sylfaen" w:cs="Times New Roman"/>
          <w:b/>
          <w:bCs/>
          <w:iCs/>
          <w:caps/>
          <w:lang w:val="en-US"/>
        </w:rPr>
      </w:pPr>
      <w:r w:rsidRPr="00916805">
        <w:rPr>
          <w:rFonts w:ascii="Sylfaen" w:eastAsia="Times New Roman" w:hAnsi="Sylfaen" w:cs="Times New Roman"/>
          <w:b/>
          <w:bCs/>
          <w:iCs/>
          <w:caps/>
          <w:lang w:val="en-US"/>
        </w:rPr>
        <w:br w:type="page"/>
      </w:r>
    </w:p>
    <w:p w14:paraId="70FA6087" w14:textId="3E6821FA" w:rsidR="00212DD5" w:rsidRPr="00DD05D7" w:rsidRDefault="00076CF7" w:rsidP="00FF1C13">
      <w:pPr>
        <w:pStyle w:val="Heading1"/>
        <w:jc w:val="center"/>
        <w:rPr>
          <w:lang w:val="en-US"/>
        </w:rPr>
      </w:pPr>
      <w:bookmarkStart w:id="0" w:name="_2024-2025_ACADEMIC_YEAR"/>
      <w:bookmarkStart w:id="1" w:name="_Toc207988625"/>
      <w:bookmarkStart w:id="2" w:name="_Hlk207988811"/>
      <w:bookmarkEnd w:id="0"/>
      <w:r>
        <w:rPr>
          <w:noProof/>
        </w:rPr>
        <w:lastRenderedPageBreak/>
        <mc:AlternateContent>
          <mc:Choice Requires="wps">
            <w:drawing>
              <wp:anchor distT="0" distB="0" distL="114300" distR="114300" simplePos="0" relativeHeight="251659264" behindDoc="0" locked="0" layoutInCell="1" allowOverlap="1" wp14:anchorId="17A0822E" wp14:editId="7F3C1114">
                <wp:simplePos x="0" y="0"/>
                <wp:positionH relativeFrom="column">
                  <wp:posOffset>1186815</wp:posOffset>
                </wp:positionH>
                <wp:positionV relativeFrom="paragraph">
                  <wp:posOffset>254635</wp:posOffset>
                </wp:positionV>
                <wp:extent cx="3867150" cy="635"/>
                <wp:effectExtent l="19050" t="19050" r="38100" b="46990"/>
                <wp:wrapNone/>
                <wp:docPr id="202205178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635"/>
                        </a:xfrm>
                        <a:prstGeom prst="straightConnector1">
                          <a:avLst/>
                        </a:prstGeom>
                        <a:noFill/>
                        <a:ln w="38100">
                          <a:solidFill>
                            <a:schemeClr val="accent1">
                              <a:lumMod val="100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C4746" id="AutoShape 9" o:spid="_x0000_s1026" type="#_x0000_t32" style="position:absolute;margin-left:93.45pt;margin-top:20.05pt;width:30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W9JAIAAGoEAAAOAAAAZHJzL2Uyb0RvYy54bWysVMFu2zAMvQ/YPwi+L7YTJE2NOD2k6y7d&#10;ViAddmYk2RYmi4KkxMnfj5KTIFuxHYb5IEik+MhHPXr1cOw1O0jnFZo6KydFxqThKJRp6+zb69OH&#10;ZcZ8ACNAo5F1dpI+e1i/f7cabCWn2KEW0jECMb4abJ11Idgqzz3vZA9+glYacjboegh0dG0uHAyE&#10;3ut8WhSLfEAnrEMuvSfr4+jM1gm/aSQPX5vGy8B0nVFtIa0urbu45usVVK0D2yl+LgP+oYoelKGk&#10;V6hHCMD2Tr2B6hV36LEJE459jk2juEwciE1Z/MZm24GViQs1x9trm/z/g+VfDhvz4mLp/Gi29hn5&#10;D88MbjowrUwFvJ4sPVwZW5UP1lfXkHjw9sWx3fAZBd2BfcDUhWPj+ghJ/NgxNft0bbY8BsbJOFsu&#10;7so5vQkn32I2T/hQXUKt8+GTxJ7FTZ354EC1XdigMfSo6MqUCA7PPsTCoLoExLwGn5TW6W21YUNM&#10;VhZFivColYjeeC/JTG60YwcggQDn0oQRWe97IjXaKZa+UStkJ0WN9mSi1FeYVMgvGRzujUiFdBLE&#10;x/M+gNLjnqK1iaXIJFZik/q2D9JtOzEwoSL76XJ2T4MkFCl3tiwWxf1dxkC3NHI8uIw5DN9V6NJz&#10;xUb/kds8uW65zf9CDSrQtoOR7PXiG8J4qTbRvyGS5BIVEsfRVzsUpxd3kREJOt0/D1+cmNsz7W9/&#10;EeufAAAA//8DAFBLAwQUAAYACAAAACEAgoWI690AAAAJAQAADwAAAGRycy9kb3ducmV2LnhtbEyP&#10;wU7DMBBE70j8g7VI3KidCtI0xKkqBBckkFqKenXiJYmI11HsNuHv2Z7gOLNPszPFZna9OOMYOk8a&#10;koUCgVR721Gj4fDxcpeBCNGQNb0n1PCDATbl9VVhcusn2uF5HxvBIRRyo6GNccilDHWLzoSFH5D4&#10;9uVHZyLLsZF2NBOHu14ulUqlMx3xh9YM+NRi/b0/OQ3bHR7S49vnaxbfn5NJqlV1zCqtb2/m7SOI&#10;iHP8g+FSn6tDyZ0qfyIbRM86S9eMarhXCQgGVusHNqqLsQRZFvL/gvIXAAD//wMAUEsBAi0AFAAG&#10;AAgAAAAhALaDOJL+AAAA4QEAABMAAAAAAAAAAAAAAAAAAAAAAFtDb250ZW50X1R5cGVzXS54bWxQ&#10;SwECLQAUAAYACAAAACEAOP0h/9YAAACUAQAACwAAAAAAAAAAAAAAAAAvAQAAX3JlbHMvLnJlbHNQ&#10;SwECLQAUAAYACAAAACEAd86FvSQCAABqBAAADgAAAAAAAAAAAAAAAAAuAgAAZHJzL2Uyb0RvYy54&#10;bWxQSwECLQAUAAYACAAAACEAgoWI690AAAAJAQAADwAAAAAAAAAAAAAAAAB+BAAAZHJzL2Rvd25y&#10;ZXYueG1sUEsFBgAAAAAEAAQA8wAAAIgFAAAAAA==&#10;" strokecolor="#4f81bd [3204]" strokeweight="3pt">
                <v:shadow on="t" color="#205867 [1608]" opacity=".5" offset="1pt"/>
              </v:shape>
            </w:pict>
          </mc:Fallback>
        </mc:AlternateContent>
      </w:r>
      <w:r w:rsidR="00604FC4" w:rsidRPr="00DD05D7">
        <w:rPr>
          <w:lang w:val="en-US"/>
        </w:rPr>
        <w:t>202</w:t>
      </w:r>
      <w:r w:rsidR="009E58AA" w:rsidRPr="00DD05D7">
        <w:rPr>
          <w:lang w:val="en-US"/>
        </w:rPr>
        <w:t>5</w:t>
      </w:r>
      <w:r w:rsidR="00604FC4" w:rsidRPr="00DD05D7">
        <w:rPr>
          <w:lang w:val="en-US"/>
        </w:rPr>
        <w:t>-202</w:t>
      </w:r>
      <w:r w:rsidR="009E58AA" w:rsidRPr="00DD05D7">
        <w:rPr>
          <w:lang w:val="en-US"/>
        </w:rPr>
        <w:t>6</w:t>
      </w:r>
      <w:r w:rsidR="00604FC4" w:rsidRPr="00DD05D7">
        <w:rPr>
          <w:lang w:val="en-US"/>
        </w:rPr>
        <w:t xml:space="preserve"> </w:t>
      </w:r>
      <w:r w:rsidR="000050F3" w:rsidRPr="00DD05D7">
        <w:rPr>
          <w:lang w:val="en-US"/>
        </w:rPr>
        <w:t>ACADEMIC YEAR CALENDAR</w:t>
      </w:r>
      <w:bookmarkEnd w:id="1"/>
    </w:p>
    <w:bookmarkEnd w:id="2"/>
    <w:p w14:paraId="6A442540" w14:textId="77777777" w:rsidR="00C61FEC" w:rsidRPr="00916805" w:rsidRDefault="00C61FEC" w:rsidP="001C1482">
      <w:pPr>
        <w:spacing w:after="0"/>
        <w:rPr>
          <w:rFonts w:ascii="Sylfaen" w:eastAsia="Times New Roman" w:hAnsi="Sylfaen" w:cs="Times New Roman"/>
          <w:b/>
          <w:bCs/>
          <w:iCs/>
          <w:color w:val="4F81BD" w:themeColor="accent1"/>
          <w:u w:val="single"/>
          <w:lang w:val="en-US"/>
        </w:rPr>
      </w:pPr>
    </w:p>
    <w:p w14:paraId="4237FD24" w14:textId="2A0DB0CB" w:rsidR="00212DD5" w:rsidRPr="00916805" w:rsidRDefault="00CE2592" w:rsidP="001C1482">
      <w:pPr>
        <w:spacing w:after="0"/>
        <w:rPr>
          <w:rFonts w:ascii="Sylfaen" w:eastAsia="Times New Roman" w:hAnsi="Sylfaen" w:cs="Times New Roman"/>
          <w:b/>
          <w:bCs/>
          <w:iCs/>
          <w:caps/>
          <w:color w:val="4F81BD" w:themeColor="accent1"/>
          <w:u w:val="single"/>
          <w:lang w:val="en-US"/>
        </w:rPr>
      </w:pPr>
      <w:r w:rsidRPr="00916805">
        <w:rPr>
          <w:rFonts w:ascii="Sylfaen" w:eastAsia="Times New Roman" w:hAnsi="Sylfaen" w:cs="Times New Roman"/>
          <w:b/>
          <w:bCs/>
          <w:iCs/>
          <w:color w:val="4F81BD" w:themeColor="accent1"/>
          <w:u w:val="single"/>
          <w:lang w:val="en-US"/>
        </w:rPr>
        <w:t>Fall Term</w:t>
      </w:r>
    </w:p>
    <w:p w14:paraId="4B9AAC54" w14:textId="6594E9E3" w:rsidR="00604FC4" w:rsidRPr="00916805" w:rsidRDefault="00CE2592" w:rsidP="001C1482">
      <w:pPr>
        <w:spacing w:after="0"/>
        <w:rPr>
          <w:rFonts w:ascii="Sylfaen" w:eastAsia="Times New Roman" w:hAnsi="Sylfaen" w:cs="Times New Roman"/>
          <w:iCs/>
          <w:color w:val="548DD4" w:themeColor="text2" w:themeTint="99"/>
          <w:lang w:val="en-US"/>
        </w:rPr>
      </w:pPr>
      <w:bookmarkStart w:id="3" w:name="_Hlk184295019"/>
      <w:r w:rsidRPr="00916805">
        <w:rPr>
          <w:rFonts w:ascii="Sylfaen" w:eastAsia="Times New Roman" w:hAnsi="Sylfaen" w:cs="Times New Roman"/>
          <w:iCs/>
          <w:color w:val="548DD4" w:themeColor="text2" w:themeTint="99"/>
          <w:lang w:val="en-US"/>
        </w:rPr>
        <w:t>Fall</w:t>
      </w:r>
      <w:r w:rsidR="00604FC4" w:rsidRPr="00916805">
        <w:rPr>
          <w:rFonts w:ascii="Sylfaen" w:eastAsia="Times New Roman" w:hAnsi="Sylfaen" w:cs="Times New Roman"/>
          <w:iCs/>
          <w:color w:val="548DD4" w:themeColor="text2" w:themeTint="99"/>
          <w:lang w:val="en-US"/>
        </w:rPr>
        <w:t xml:space="preserve"> Term Begins……………………………………………</w:t>
      </w:r>
      <w:r w:rsidR="00BD52BC" w:rsidRPr="00916805">
        <w:rPr>
          <w:rFonts w:ascii="Sylfaen" w:eastAsia="Times New Roman" w:hAnsi="Sylfaen" w:cs="Times New Roman"/>
          <w:iCs/>
          <w:color w:val="548DD4" w:themeColor="text2" w:themeTint="99"/>
          <w:lang w:val="en-US"/>
        </w:rPr>
        <w:t xml:space="preserve"> </w:t>
      </w:r>
      <w:r w:rsidR="00604FC4" w:rsidRPr="00916805">
        <w:rPr>
          <w:rFonts w:ascii="Sylfaen" w:eastAsia="Times New Roman" w:hAnsi="Sylfaen" w:cs="Times New Roman"/>
          <w:iCs/>
          <w:color w:val="548DD4" w:themeColor="text2" w:themeTint="99"/>
          <w:lang w:val="en-US"/>
        </w:rPr>
        <w:t>……………</w:t>
      </w:r>
      <w:r w:rsidR="00A623EC" w:rsidRPr="00916805">
        <w:rPr>
          <w:rFonts w:ascii="Sylfaen" w:eastAsia="Times New Roman" w:hAnsi="Sylfaen" w:cs="Times New Roman"/>
          <w:iCs/>
          <w:color w:val="548DD4" w:themeColor="text2" w:themeTint="99"/>
          <w:lang w:val="en-US"/>
        </w:rPr>
        <w:t>.</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9C2E4A">
        <w:rPr>
          <w:rFonts w:ascii="Sylfaen" w:eastAsia="Times New Roman" w:hAnsi="Sylfaen" w:cs="Times New Roman"/>
          <w:iCs/>
          <w:color w:val="548DD4" w:themeColor="text2" w:themeTint="99"/>
          <w:lang w:val="en-US"/>
        </w:rPr>
        <w:t>01</w:t>
      </w:r>
      <w:r w:rsidR="00604FC4" w:rsidRPr="00916805">
        <w:rPr>
          <w:rFonts w:ascii="Sylfaen" w:eastAsia="Times New Roman" w:hAnsi="Sylfaen" w:cs="Times New Roman"/>
          <w:iCs/>
          <w:color w:val="548DD4" w:themeColor="text2" w:themeTint="99"/>
          <w:lang w:val="en-US"/>
        </w:rPr>
        <w:t xml:space="preserve"> Sep</w:t>
      </w:r>
    </w:p>
    <w:p w14:paraId="34B50B5D" w14:textId="6293FEE7" w:rsidR="00604FC4" w:rsidRPr="00916805" w:rsidRDefault="00604FC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Independence Day………………………………………………</w:t>
      </w:r>
      <w:r w:rsidR="00A623EC" w:rsidRPr="00916805">
        <w:rPr>
          <w:rFonts w:ascii="Sylfaen" w:eastAsia="Times New Roman" w:hAnsi="Sylfaen" w:cs="Times New Roman"/>
          <w:iCs/>
          <w:color w:val="548DD4" w:themeColor="text2" w:themeTint="99"/>
          <w:lang w:val="en-US"/>
        </w:rPr>
        <w:t>…</w:t>
      </w:r>
      <w:r w:rsidR="00D82D96" w:rsidRPr="00916805">
        <w:rPr>
          <w:rFonts w:ascii="Sylfaen" w:eastAsia="Times New Roman" w:hAnsi="Sylfaen" w:cs="Times New Roman"/>
          <w:iCs/>
          <w:color w:val="548DD4" w:themeColor="text2" w:themeTint="99"/>
          <w:lang w:val="en-US"/>
        </w:rPr>
        <w:t>….…..</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21 Sep</w:t>
      </w:r>
    </w:p>
    <w:p w14:paraId="678950E5" w14:textId="559BCE31" w:rsidR="00604FC4" w:rsidRPr="00916805" w:rsidRDefault="00604FC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 xml:space="preserve">New Year </w:t>
      </w:r>
      <w:r w:rsidR="00A623EC" w:rsidRPr="00916805">
        <w:rPr>
          <w:rFonts w:ascii="Sylfaen" w:eastAsia="Times New Roman" w:hAnsi="Sylfaen" w:cs="Times New Roman"/>
          <w:iCs/>
          <w:color w:val="548DD4" w:themeColor="text2" w:themeTint="99"/>
          <w:lang w:val="en-US"/>
        </w:rPr>
        <w:t xml:space="preserve">and Christmas </w:t>
      </w:r>
      <w:r w:rsidRPr="00916805">
        <w:rPr>
          <w:rFonts w:ascii="Sylfaen" w:eastAsia="Times New Roman" w:hAnsi="Sylfaen" w:cs="Times New Roman"/>
          <w:iCs/>
          <w:color w:val="548DD4" w:themeColor="text2" w:themeTint="99"/>
          <w:lang w:val="en-US"/>
        </w:rPr>
        <w:t>Holiday</w:t>
      </w:r>
      <w:r w:rsidR="00A623EC" w:rsidRPr="00916805">
        <w:rPr>
          <w:rFonts w:ascii="Sylfaen" w:eastAsia="Times New Roman" w:hAnsi="Sylfaen" w:cs="Times New Roman"/>
          <w:iCs/>
          <w:color w:val="548DD4" w:themeColor="text2" w:themeTint="99"/>
          <w:lang w:val="en-US"/>
        </w:rPr>
        <w:t>s</w:t>
      </w:r>
      <w:r w:rsidRPr="00916805">
        <w:rPr>
          <w:rFonts w:ascii="Sylfaen" w:eastAsia="Times New Roman" w:hAnsi="Sylfaen" w:cs="Times New Roman"/>
          <w:iCs/>
          <w:color w:val="548DD4" w:themeColor="text2" w:themeTint="99"/>
          <w:lang w:val="en-US"/>
        </w:rPr>
        <w:t>……………………</w:t>
      </w:r>
      <w:r w:rsidR="00A623EC" w:rsidRPr="00916805">
        <w:rPr>
          <w:rFonts w:ascii="Sylfaen" w:eastAsia="Times New Roman" w:hAnsi="Sylfaen" w:cs="Times New Roman"/>
          <w:iCs/>
          <w:color w:val="548DD4" w:themeColor="text2" w:themeTint="99"/>
          <w:lang w:val="en-US"/>
        </w:rPr>
        <w:t>….</w:t>
      </w:r>
      <w:r w:rsidRPr="00916805">
        <w:rPr>
          <w:rFonts w:ascii="Sylfaen" w:eastAsia="Times New Roman" w:hAnsi="Sylfaen" w:cs="Times New Roman"/>
          <w:iCs/>
          <w:color w:val="548DD4" w:themeColor="text2" w:themeTint="99"/>
          <w:lang w:val="en-US"/>
        </w:rPr>
        <w:t>…………</w:t>
      </w:r>
      <w:r w:rsidR="007755C4" w:rsidRPr="00916805">
        <w:rPr>
          <w:rFonts w:ascii="Sylfaen" w:eastAsia="Times New Roman" w:hAnsi="Sylfaen" w:cs="Times New Roman"/>
          <w:iCs/>
          <w:color w:val="548DD4" w:themeColor="text2" w:themeTint="99"/>
          <w:lang w:val="en-US"/>
        </w:rPr>
        <w:t>….</w:t>
      </w:r>
      <w:r w:rsidR="00BD52BC"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w:t>
      </w:r>
      <w:r w:rsidR="00A623EC" w:rsidRPr="00916805">
        <w:rPr>
          <w:rFonts w:ascii="Sylfaen" w:eastAsia="Times New Roman" w:hAnsi="Sylfaen" w:cs="Times New Roman"/>
          <w:iCs/>
          <w:color w:val="548DD4" w:themeColor="text2" w:themeTint="99"/>
          <w:lang w:val="en-US"/>
        </w:rPr>
        <w:t>.</w:t>
      </w:r>
      <w:r w:rsidRPr="00916805">
        <w:rPr>
          <w:rFonts w:ascii="Sylfaen" w:eastAsia="Times New Roman" w:hAnsi="Sylfaen" w:cs="Times New Roman"/>
          <w:iCs/>
          <w:color w:val="548DD4" w:themeColor="text2" w:themeTint="99"/>
          <w:lang w:val="en-US"/>
        </w:rPr>
        <w:t xml:space="preserve"> </w:t>
      </w:r>
      <w:r w:rsidR="00BD52BC"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31Dec-06 Jan</w:t>
      </w:r>
    </w:p>
    <w:p w14:paraId="476BFE58" w14:textId="6E3C21CB" w:rsidR="00604FC4" w:rsidRPr="00916805" w:rsidRDefault="00604FC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Recap Session</w:t>
      </w:r>
      <w:r w:rsidR="008E4524" w:rsidRPr="00916805">
        <w:rPr>
          <w:rFonts w:ascii="Sylfaen" w:eastAsia="Times New Roman" w:hAnsi="Sylfaen" w:cs="Times New Roman"/>
          <w:iCs/>
          <w:color w:val="548DD4" w:themeColor="text2" w:themeTint="99"/>
          <w:lang w:val="en-US"/>
        </w:rPr>
        <w:t xml:space="preserve"> for the First Year Students</w:t>
      </w:r>
      <w:r w:rsidRPr="00916805">
        <w:rPr>
          <w:rFonts w:ascii="Sylfaen" w:eastAsia="Times New Roman" w:hAnsi="Sylfaen" w:cs="Times New Roman"/>
          <w:iCs/>
          <w:color w:val="548DD4" w:themeColor="text2" w:themeTint="99"/>
          <w:lang w:val="en-US"/>
        </w:rPr>
        <w:t>…………………………</w:t>
      </w:r>
      <w:r w:rsidR="00C61FEC" w:rsidRPr="00916805">
        <w:rPr>
          <w:rFonts w:ascii="Sylfaen" w:eastAsia="Times New Roman" w:hAnsi="Sylfaen" w:cs="Times New Roman"/>
          <w:iCs/>
          <w:color w:val="548DD4" w:themeColor="text2" w:themeTint="99"/>
          <w:lang w:val="en-US"/>
        </w:rPr>
        <w:t>…......</w:t>
      </w:r>
      <w:r w:rsidR="00BD52BC"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 xml:space="preserve"> </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7755C4" w:rsidRPr="00916805">
        <w:rPr>
          <w:rFonts w:ascii="Sylfaen" w:eastAsia="Times New Roman" w:hAnsi="Sylfaen" w:cs="Times New Roman"/>
          <w:iCs/>
          <w:color w:val="548DD4" w:themeColor="text2" w:themeTint="99"/>
          <w:lang w:val="en-US"/>
        </w:rPr>
        <w:t>1</w:t>
      </w:r>
      <w:r w:rsidR="00864D82">
        <w:rPr>
          <w:rFonts w:ascii="Sylfaen" w:eastAsia="Times New Roman" w:hAnsi="Sylfaen" w:cs="Times New Roman"/>
          <w:iCs/>
          <w:color w:val="548DD4" w:themeColor="text2" w:themeTint="99"/>
          <w:lang w:val="en-US"/>
        </w:rPr>
        <w:t>5</w:t>
      </w:r>
      <w:r w:rsidR="007755C4" w:rsidRPr="00916805">
        <w:rPr>
          <w:rFonts w:ascii="Sylfaen" w:eastAsia="Times New Roman" w:hAnsi="Sylfaen" w:cs="Times New Roman"/>
          <w:iCs/>
          <w:color w:val="548DD4" w:themeColor="text2" w:themeTint="99"/>
          <w:lang w:val="en-US"/>
        </w:rPr>
        <w:t xml:space="preserve"> Dec-3</w:t>
      </w:r>
      <w:r w:rsidR="00864D82">
        <w:rPr>
          <w:rFonts w:ascii="Sylfaen" w:eastAsia="Times New Roman" w:hAnsi="Sylfaen" w:cs="Times New Roman"/>
          <w:iCs/>
          <w:color w:val="548DD4" w:themeColor="text2" w:themeTint="99"/>
          <w:lang w:val="en-US"/>
        </w:rPr>
        <w:t>0</w:t>
      </w:r>
      <w:r w:rsidR="007755C4" w:rsidRPr="00916805">
        <w:rPr>
          <w:rFonts w:ascii="Sylfaen" w:eastAsia="Times New Roman" w:hAnsi="Sylfaen" w:cs="Times New Roman"/>
          <w:iCs/>
          <w:color w:val="548DD4" w:themeColor="text2" w:themeTint="99"/>
          <w:lang w:val="en-US"/>
        </w:rPr>
        <w:t xml:space="preserve"> Jan</w:t>
      </w:r>
    </w:p>
    <w:p w14:paraId="348590EF" w14:textId="762F61EA" w:rsidR="00CE2592" w:rsidRPr="00916805" w:rsidRDefault="009500B7"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 xml:space="preserve">Recap Session for the Second Year Students……………………….……. </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During the Term</w:t>
      </w:r>
    </w:p>
    <w:p w14:paraId="2F823363" w14:textId="246FA7B8" w:rsidR="00CE2592" w:rsidRPr="00916805" w:rsidRDefault="00CE2592"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Master Thesis Defense……………………………………………………</w:t>
      </w:r>
      <w:r w:rsidR="006940AF" w:rsidRPr="00916805">
        <w:rPr>
          <w:rFonts w:ascii="Sylfaen" w:eastAsia="Times New Roman" w:hAnsi="Sylfaen" w:cs="Times New Roman"/>
          <w:iCs/>
          <w:color w:val="548DD4" w:themeColor="text2" w:themeTint="99"/>
          <w:lang w:val="en-US"/>
        </w:rPr>
        <w:t>.</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864D82">
        <w:rPr>
          <w:rFonts w:ascii="Sylfaen" w:eastAsia="Times New Roman" w:hAnsi="Sylfaen" w:cs="Times New Roman"/>
          <w:iCs/>
          <w:color w:val="548DD4" w:themeColor="text2" w:themeTint="99"/>
          <w:lang w:val="en-US"/>
        </w:rPr>
        <w:t>19</w:t>
      </w:r>
      <w:r w:rsidRPr="00916805">
        <w:rPr>
          <w:rFonts w:ascii="Sylfaen" w:eastAsia="Times New Roman" w:hAnsi="Sylfaen" w:cs="Times New Roman"/>
          <w:iCs/>
          <w:color w:val="548DD4" w:themeColor="text2" w:themeTint="99"/>
          <w:lang w:val="en-US"/>
        </w:rPr>
        <w:t xml:space="preserve"> Jan -</w:t>
      </w:r>
      <w:r w:rsidR="00864D82">
        <w:rPr>
          <w:rFonts w:ascii="Sylfaen" w:eastAsia="Times New Roman" w:hAnsi="Sylfaen" w:cs="Times New Roman"/>
          <w:iCs/>
          <w:color w:val="548DD4" w:themeColor="text2" w:themeTint="99"/>
          <w:lang w:val="en-US"/>
        </w:rPr>
        <w:t>30</w:t>
      </w:r>
      <w:r w:rsidRPr="00916805">
        <w:rPr>
          <w:rFonts w:ascii="Sylfaen" w:eastAsia="Times New Roman" w:hAnsi="Sylfaen" w:cs="Times New Roman"/>
          <w:iCs/>
          <w:color w:val="548DD4" w:themeColor="text2" w:themeTint="99"/>
          <w:lang w:val="en-US"/>
        </w:rPr>
        <w:t xml:space="preserve"> Jan </w:t>
      </w:r>
    </w:p>
    <w:p w14:paraId="633B64E7" w14:textId="48814A68" w:rsidR="00604FC4" w:rsidRPr="00916805" w:rsidRDefault="00604FC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1ts Reexamination Period…………………………………………………</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7755C4" w:rsidRPr="00916805">
        <w:rPr>
          <w:rFonts w:ascii="Sylfaen" w:eastAsia="Times New Roman" w:hAnsi="Sylfaen" w:cs="Times New Roman"/>
          <w:iCs/>
          <w:color w:val="548DD4" w:themeColor="text2" w:themeTint="99"/>
          <w:lang w:val="en-US"/>
        </w:rPr>
        <w:t>2</w:t>
      </w:r>
      <w:r w:rsidR="00864D82">
        <w:rPr>
          <w:rFonts w:ascii="Sylfaen" w:eastAsia="Times New Roman" w:hAnsi="Sylfaen" w:cs="Times New Roman"/>
          <w:iCs/>
          <w:color w:val="548DD4" w:themeColor="text2" w:themeTint="99"/>
          <w:lang w:val="en-US"/>
        </w:rPr>
        <w:t>6</w:t>
      </w:r>
      <w:r w:rsidR="007755C4" w:rsidRPr="00916805">
        <w:rPr>
          <w:rFonts w:ascii="Sylfaen" w:eastAsia="Times New Roman" w:hAnsi="Sylfaen" w:cs="Times New Roman"/>
          <w:iCs/>
          <w:color w:val="548DD4" w:themeColor="text2" w:themeTint="99"/>
          <w:lang w:val="en-US"/>
        </w:rPr>
        <w:t xml:space="preserve"> Jan – 0</w:t>
      </w:r>
      <w:r w:rsidR="00864D82">
        <w:rPr>
          <w:rFonts w:ascii="Sylfaen" w:eastAsia="Times New Roman" w:hAnsi="Sylfaen" w:cs="Times New Roman"/>
          <w:iCs/>
          <w:color w:val="548DD4" w:themeColor="text2" w:themeTint="99"/>
          <w:lang w:val="en-US"/>
        </w:rPr>
        <w:t>6</w:t>
      </w:r>
      <w:r w:rsidR="007755C4" w:rsidRPr="00916805">
        <w:rPr>
          <w:rFonts w:ascii="Sylfaen" w:eastAsia="Times New Roman" w:hAnsi="Sylfaen" w:cs="Times New Roman"/>
          <w:iCs/>
          <w:color w:val="548DD4" w:themeColor="text2" w:themeTint="99"/>
          <w:lang w:val="en-US"/>
        </w:rPr>
        <w:t xml:space="preserve"> Feb</w:t>
      </w:r>
    </w:p>
    <w:p w14:paraId="3CAE597D" w14:textId="69E7228A" w:rsidR="00604FC4" w:rsidRPr="00916805" w:rsidRDefault="00604FC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2</w:t>
      </w:r>
      <w:r w:rsidRPr="00916805">
        <w:rPr>
          <w:rFonts w:ascii="Sylfaen" w:eastAsia="Times New Roman" w:hAnsi="Sylfaen" w:cs="Times New Roman"/>
          <w:iCs/>
          <w:color w:val="548DD4" w:themeColor="text2" w:themeTint="99"/>
          <w:vertAlign w:val="superscript"/>
          <w:lang w:val="en-US"/>
        </w:rPr>
        <w:t>nd</w:t>
      </w:r>
      <w:r w:rsidRPr="00916805">
        <w:rPr>
          <w:rFonts w:ascii="Sylfaen" w:eastAsia="Times New Roman" w:hAnsi="Sylfaen" w:cs="Times New Roman"/>
          <w:iCs/>
          <w:color w:val="548DD4" w:themeColor="text2" w:themeTint="99"/>
          <w:lang w:val="en-US"/>
        </w:rPr>
        <w:t xml:space="preserve"> Reexamination Period…………………………………………………</w:t>
      </w:r>
      <w:r w:rsidR="006940AF" w:rsidRPr="00916805">
        <w:rPr>
          <w:rFonts w:ascii="Sylfaen" w:eastAsia="Times New Roman" w:hAnsi="Sylfaen" w:cs="Times New Roman"/>
          <w:iCs/>
          <w:color w:val="548DD4" w:themeColor="text2" w:themeTint="99"/>
          <w:lang w:val="en-US"/>
        </w:rPr>
        <w:t xml:space="preserve">       </w:t>
      </w:r>
      <w:r w:rsidR="00864D82">
        <w:rPr>
          <w:rFonts w:ascii="Sylfaen" w:eastAsia="Times New Roman" w:hAnsi="Sylfaen" w:cs="Times New Roman"/>
          <w:iCs/>
          <w:color w:val="548DD4" w:themeColor="text2" w:themeTint="99"/>
          <w:lang w:val="en-US"/>
        </w:rPr>
        <w:t>09</w:t>
      </w:r>
      <w:r w:rsidR="007755C4" w:rsidRPr="00916805">
        <w:rPr>
          <w:rFonts w:ascii="Sylfaen" w:eastAsia="Times New Roman" w:hAnsi="Sylfaen" w:cs="Times New Roman"/>
          <w:iCs/>
          <w:color w:val="548DD4" w:themeColor="text2" w:themeTint="99"/>
          <w:lang w:val="en-US"/>
        </w:rPr>
        <w:t xml:space="preserve"> Feb – 2</w:t>
      </w:r>
      <w:r w:rsidR="001F14BC">
        <w:rPr>
          <w:rFonts w:ascii="Sylfaen" w:eastAsia="Times New Roman" w:hAnsi="Sylfaen" w:cs="Times New Roman"/>
          <w:iCs/>
          <w:color w:val="548DD4" w:themeColor="text2" w:themeTint="99"/>
          <w:lang w:val="en-US"/>
        </w:rPr>
        <w:t>0</w:t>
      </w:r>
      <w:r w:rsidR="007755C4" w:rsidRPr="00916805">
        <w:rPr>
          <w:rFonts w:ascii="Sylfaen" w:eastAsia="Times New Roman" w:hAnsi="Sylfaen" w:cs="Times New Roman"/>
          <w:iCs/>
          <w:color w:val="548DD4" w:themeColor="text2" w:themeTint="99"/>
          <w:lang w:val="en-US"/>
        </w:rPr>
        <w:t xml:space="preserve"> Feb </w:t>
      </w:r>
    </w:p>
    <w:p w14:paraId="519ACD96" w14:textId="1D64AC70" w:rsidR="00604FC4" w:rsidRPr="00916805" w:rsidRDefault="00CE2592"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Fall</w:t>
      </w:r>
      <w:r w:rsidR="00604FC4" w:rsidRPr="00916805">
        <w:rPr>
          <w:rFonts w:ascii="Sylfaen" w:eastAsia="Times New Roman" w:hAnsi="Sylfaen" w:cs="Times New Roman"/>
          <w:iCs/>
          <w:color w:val="548DD4" w:themeColor="text2" w:themeTint="99"/>
          <w:lang w:val="en-US"/>
        </w:rPr>
        <w:t xml:space="preserve"> Term Ends……………………………………………………………</w:t>
      </w:r>
      <w:r w:rsidR="007755C4" w:rsidRPr="00916805">
        <w:rPr>
          <w:rFonts w:ascii="Sylfaen" w:eastAsia="Times New Roman" w:hAnsi="Sylfaen" w:cs="Times New Roman"/>
          <w:iCs/>
          <w:color w:val="548DD4" w:themeColor="text2" w:themeTint="99"/>
          <w:lang w:val="en-US"/>
        </w:rPr>
        <w:t xml:space="preserve">. </w:t>
      </w:r>
      <w:r w:rsidR="00BD52B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7755C4" w:rsidRPr="00916805">
        <w:rPr>
          <w:rFonts w:ascii="Sylfaen" w:eastAsia="Times New Roman" w:hAnsi="Sylfaen" w:cs="Times New Roman"/>
          <w:iCs/>
          <w:color w:val="548DD4" w:themeColor="text2" w:themeTint="99"/>
          <w:lang w:val="en-US"/>
        </w:rPr>
        <w:t>2</w:t>
      </w:r>
      <w:r w:rsidR="001F14BC">
        <w:rPr>
          <w:rFonts w:ascii="Sylfaen" w:eastAsia="Times New Roman" w:hAnsi="Sylfaen" w:cs="Times New Roman"/>
          <w:iCs/>
          <w:color w:val="548DD4" w:themeColor="text2" w:themeTint="99"/>
          <w:lang w:val="en-US"/>
        </w:rPr>
        <w:t>3</w:t>
      </w:r>
      <w:r w:rsidR="007755C4" w:rsidRPr="00916805">
        <w:rPr>
          <w:rFonts w:ascii="Sylfaen" w:eastAsia="Times New Roman" w:hAnsi="Sylfaen" w:cs="Times New Roman"/>
          <w:iCs/>
          <w:color w:val="548DD4" w:themeColor="text2" w:themeTint="99"/>
          <w:lang w:val="en-US"/>
        </w:rPr>
        <w:t xml:space="preserve"> Ja</w:t>
      </w:r>
      <w:r w:rsidR="006940AF" w:rsidRPr="00916805">
        <w:rPr>
          <w:rFonts w:ascii="Sylfaen" w:eastAsia="Times New Roman" w:hAnsi="Sylfaen" w:cs="Times New Roman"/>
          <w:iCs/>
          <w:color w:val="548DD4" w:themeColor="text2" w:themeTint="99"/>
          <w:lang w:val="en-US"/>
        </w:rPr>
        <w:t>n</w:t>
      </w:r>
      <w:r w:rsidR="00604FC4" w:rsidRPr="00916805">
        <w:rPr>
          <w:rFonts w:ascii="Sylfaen" w:eastAsia="Times New Roman" w:hAnsi="Sylfaen" w:cs="Times New Roman"/>
          <w:iCs/>
          <w:color w:val="548DD4" w:themeColor="text2" w:themeTint="99"/>
          <w:lang w:val="en-US"/>
        </w:rPr>
        <w:t xml:space="preserve"> </w:t>
      </w:r>
    </w:p>
    <w:bookmarkEnd w:id="3"/>
    <w:p w14:paraId="0BE14D63" w14:textId="77777777" w:rsidR="00CE2592" w:rsidRPr="00916805" w:rsidRDefault="00CE2592" w:rsidP="001C1482">
      <w:pPr>
        <w:spacing w:after="0"/>
        <w:rPr>
          <w:rFonts w:ascii="Sylfaen" w:eastAsia="Times New Roman" w:hAnsi="Sylfaen" w:cs="Times New Roman"/>
          <w:b/>
          <w:bCs/>
          <w:iCs/>
          <w:caps/>
          <w:u w:val="single"/>
          <w:lang w:val="en-US"/>
        </w:rPr>
      </w:pPr>
    </w:p>
    <w:p w14:paraId="0BE576D4" w14:textId="0ED78E09" w:rsidR="007755C4" w:rsidRPr="00916805" w:rsidRDefault="00CE2592" w:rsidP="001C1482">
      <w:pPr>
        <w:spacing w:after="0"/>
        <w:rPr>
          <w:rFonts w:ascii="Sylfaen" w:eastAsia="Times New Roman" w:hAnsi="Sylfaen" w:cs="Times New Roman"/>
          <w:b/>
          <w:bCs/>
          <w:iCs/>
          <w:caps/>
          <w:color w:val="4F81BD"/>
          <w:u w:val="single"/>
          <w:lang w:val="en-US"/>
        </w:rPr>
      </w:pPr>
      <w:r w:rsidRPr="00916805">
        <w:rPr>
          <w:rFonts w:ascii="Sylfaen" w:eastAsia="Times New Roman" w:hAnsi="Sylfaen" w:cs="Times New Roman"/>
          <w:b/>
          <w:bCs/>
          <w:iCs/>
          <w:color w:val="4F81BD"/>
          <w:u w:val="single"/>
          <w:lang w:val="en-US"/>
        </w:rPr>
        <w:t>Spring Term</w:t>
      </w:r>
    </w:p>
    <w:p w14:paraId="015F9F34" w14:textId="0F85FCF3" w:rsidR="002B097C" w:rsidRPr="00916805" w:rsidRDefault="00CE2592"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Spring</w:t>
      </w:r>
      <w:r w:rsidR="002B097C" w:rsidRPr="00916805">
        <w:rPr>
          <w:rFonts w:ascii="Sylfaen" w:eastAsia="Times New Roman" w:hAnsi="Sylfaen" w:cs="Times New Roman"/>
          <w:iCs/>
          <w:color w:val="548DD4" w:themeColor="text2" w:themeTint="99"/>
          <w:lang w:val="en-US"/>
        </w:rPr>
        <w:t xml:space="preserve"> Term Begins………………………………………………………</w:t>
      </w:r>
      <w:r w:rsidR="006940AF" w:rsidRPr="00916805">
        <w:rPr>
          <w:rFonts w:ascii="Sylfaen" w:eastAsia="Times New Roman" w:hAnsi="Sylfaen" w:cs="Times New Roman"/>
          <w:iCs/>
          <w:color w:val="548DD4" w:themeColor="text2" w:themeTint="99"/>
          <w:lang w:val="en-US"/>
        </w:rPr>
        <w:t>...</w:t>
      </w:r>
      <w:r w:rsidR="00436FCE" w:rsidRPr="00916805">
        <w:rPr>
          <w:rFonts w:ascii="Sylfaen" w:eastAsia="Times New Roman" w:hAnsi="Sylfaen" w:cs="Times New Roman"/>
          <w:iCs/>
          <w:color w:val="548DD4" w:themeColor="text2" w:themeTint="99"/>
          <w:lang w:val="en-US"/>
        </w:rPr>
        <w:t>.</w:t>
      </w:r>
      <w:r w:rsidR="002B097C"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00C61FEC" w:rsidRPr="00916805">
        <w:rPr>
          <w:rFonts w:ascii="Sylfaen" w:eastAsia="Times New Roman" w:hAnsi="Sylfaen" w:cs="Times New Roman"/>
          <w:iCs/>
          <w:color w:val="548DD4" w:themeColor="text2" w:themeTint="99"/>
          <w:lang w:val="en-US"/>
        </w:rPr>
        <w:t xml:space="preserve"> </w:t>
      </w:r>
      <w:r w:rsidR="002B097C" w:rsidRPr="00916805">
        <w:rPr>
          <w:rFonts w:ascii="Sylfaen" w:eastAsia="Times New Roman" w:hAnsi="Sylfaen" w:cs="Times New Roman"/>
          <w:iCs/>
          <w:color w:val="548DD4" w:themeColor="text2" w:themeTint="99"/>
          <w:lang w:val="en-US"/>
        </w:rPr>
        <w:t>0</w:t>
      </w:r>
      <w:r w:rsidR="001F14BC">
        <w:rPr>
          <w:rFonts w:ascii="Sylfaen" w:eastAsia="Times New Roman" w:hAnsi="Sylfaen" w:cs="Times New Roman"/>
          <w:iCs/>
          <w:color w:val="548DD4" w:themeColor="text2" w:themeTint="99"/>
          <w:lang w:val="en-US"/>
        </w:rPr>
        <w:t>2</w:t>
      </w:r>
      <w:r w:rsidR="002B097C" w:rsidRPr="00916805">
        <w:rPr>
          <w:rFonts w:ascii="Sylfaen" w:eastAsia="Times New Roman" w:hAnsi="Sylfaen" w:cs="Times New Roman"/>
          <w:iCs/>
          <w:color w:val="548DD4" w:themeColor="text2" w:themeTint="99"/>
          <w:lang w:val="en-US"/>
        </w:rPr>
        <w:t xml:space="preserve"> Feb</w:t>
      </w:r>
    </w:p>
    <w:p w14:paraId="4C6B39B9" w14:textId="2E30263E" w:rsidR="002B097C" w:rsidRPr="00916805" w:rsidRDefault="002B097C"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Women’s days……………………………………………………………</w:t>
      </w:r>
      <w:r w:rsidR="006940AF" w:rsidRPr="00916805">
        <w:rPr>
          <w:rFonts w:ascii="Sylfaen" w:eastAsia="Times New Roman" w:hAnsi="Sylfaen" w:cs="Times New Roman"/>
          <w:iCs/>
          <w:color w:val="548DD4" w:themeColor="text2" w:themeTint="99"/>
          <w:lang w:val="en-US"/>
        </w:rPr>
        <w:t>…</w:t>
      </w:r>
      <w:r w:rsidR="00436FCE"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08 March</w:t>
      </w:r>
    </w:p>
    <w:p w14:paraId="48925203" w14:textId="09D816CA" w:rsidR="002B097C" w:rsidRPr="00916805" w:rsidRDefault="002B097C"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 xml:space="preserve">Genocide </w:t>
      </w:r>
      <w:r w:rsidR="00F15CD2" w:rsidRPr="00916805">
        <w:rPr>
          <w:rFonts w:ascii="Sylfaen" w:eastAsia="Times New Roman" w:hAnsi="Sylfaen" w:cs="Times New Roman"/>
          <w:iCs/>
          <w:color w:val="548DD4" w:themeColor="text2" w:themeTint="99"/>
          <w:lang w:val="en-US"/>
        </w:rPr>
        <w:t>Commemoration</w:t>
      </w:r>
      <w:r w:rsidRPr="00916805">
        <w:rPr>
          <w:rFonts w:ascii="Sylfaen" w:eastAsia="Times New Roman" w:hAnsi="Sylfaen" w:cs="Times New Roman"/>
          <w:iCs/>
          <w:color w:val="548DD4" w:themeColor="text2" w:themeTint="99"/>
          <w:lang w:val="en-US"/>
        </w:rPr>
        <w:t xml:space="preserve"> Day………………………………………</w:t>
      </w:r>
      <w:r w:rsidR="00C61FEC" w:rsidRPr="00916805">
        <w:rPr>
          <w:rFonts w:ascii="Sylfaen" w:eastAsia="Times New Roman" w:hAnsi="Sylfaen" w:cs="Times New Roman"/>
          <w:iCs/>
          <w:color w:val="548DD4" w:themeColor="text2" w:themeTint="99"/>
          <w:lang w:val="en-US"/>
        </w:rPr>
        <w:t>......</w:t>
      </w:r>
      <w:r w:rsidR="00F15CD2"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 xml:space="preserve">     </w:t>
      </w:r>
      <w:r w:rsidR="00C61FEC"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24 April</w:t>
      </w:r>
    </w:p>
    <w:p w14:paraId="41EDD12F" w14:textId="507A4468" w:rsidR="0091730B" w:rsidRPr="00916805" w:rsidRDefault="0091730B"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Labor Day………………………………………………………………</w:t>
      </w:r>
      <w:r w:rsidR="003843F0" w:rsidRPr="00916805">
        <w:rPr>
          <w:rFonts w:ascii="Sylfaen" w:eastAsia="Times New Roman" w:hAnsi="Sylfaen" w:cs="Times New Roman"/>
          <w:iCs/>
          <w:color w:val="548DD4" w:themeColor="text2" w:themeTint="99"/>
          <w:lang w:val="en-US"/>
        </w:rPr>
        <w:t>...</w:t>
      </w:r>
      <w:r w:rsidR="00C61FEC"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01 May</w:t>
      </w:r>
    </w:p>
    <w:p w14:paraId="5944E328" w14:textId="64CFB1AA" w:rsidR="0091730B" w:rsidRPr="00916805" w:rsidRDefault="0091730B"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Victory Day…………………………………………………………………</w:t>
      </w:r>
      <w:r w:rsidR="006940AF" w:rsidRPr="00916805">
        <w:rPr>
          <w:rFonts w:ascii="Sylfaen" w:eastAsia="Times New Roman" w:hAnsi="Sylfaen" w:cs="Times New Roman"/>
          <w:iCs/>
          <w:color w:val="548DD4" w:themeColor="text2" w:themeTint="99"/>
          <w:lang w:val="en-US"/>
        </w:rPr>
        <w:t xml:space="preserve">.     </w:t>
      </w:r>
      <w:r w:rsidR="00436FCE"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09 May</w:t>
      </w:r>
    </w:p>
    <w:p w14:paraId="729766A3" w14:textId="07509D9F" w:rsidR="00D138AC" w:rsidRPr="00916805" w:rsidRDefault="002B097C"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Recap Session……………………………………………………………</w:t>
      </w:r>
      <w:r w:rsidR="00C61FEC" w:rsidRPr="00916805">
        <w:rPr>
          <w:rFonts w:ascii="Sylfaen" w:eastAsia="Times New Roman" w:hAnsi="Sylfaen" w:cs="Times New Roman"/>
          <w:iCs/>
          <w:color w:val="548DD4" w:themeColor="text2" w:themeTint="99"/>
          <w:lang w:val="en-US"/>
        </w:rPr>
        <w:t>…...</w:t>
      </w:r>
      <w:r w:rsidRPr="00916805">
        <w:rPr>
          <w:rFonts w:ascii="Sylfaen" w:eastAsia="Times New Roman" w:hAnsi="Sylfaen" w:cs="Times New Roman"/>
          <w:iCs/>
          <w:color w:val="548DD4" w:themeColor="text2" w:themeTint="99"/>
          <w:lang w:val="en-US"/>
        </w:rPr>
        <w:t xml:space="preserve"> </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w:t>
      </w:r>
      <w:r w:rsidR="001F14BC">
        <w:rPr>
          <w:rFonts w:ascii="Sylfaen" w:eastAsia="Times New Roman" w:hAnsi="Sylfaen" w:cs="Times New Roman"/>
          <w:iCs/>
          <w:color w:val="548DD4" w:themeColor="text2" w:themeTint="99"/>
          <w:lang w:val="en-US"/>
        </w:rPr>
        <w:t>5</w:t>
      </w:r>
      <w:r w:rsidRPr="00916805">
        <w:rPr>
          <w:rFonts w:ascii="Sylfaen" w:eastAsia="Times New Roman" w:hAnsi="Sylfaen" w:cs="Times New Roman"/>
          <w:iCs/>
          <w:color w:val="548DD4" w:themeColor="text2" w:themeTint="99"/>
          <w:lang w:val="en-US"/>
        </w:rPr>
        <w:t xml:space="preserve"> May-</w:t>
      </w:r>
      <w:r w:rsidR="001F14BC">
        <w:rPr>
          <w:rFonts w:ascii="Sylfaen" w:eastAsia="Times New Roman" w:hAnsi="Sylfaen" w:cs="Times New Roman"/>
          <w:iCs/>
          <w:color w:val="548DD4" w:themeColor="text2" w:themeTint="99"/>
          <w:lang w:val="en-US"/>
        </w:rPr>
        <w:t>19</w:t>
      </w:r>
      <w:r w:rsidRPr="00916805">
        <w:rPr>
          <w:rFonts w:ascii="Sylfaen" w:eastAsia="Times New Roman" w:hAnsi="Sylfaen" w:cs="Times New Roman"/>
          <w:iCs/>
          <w:color w:val="548DD4" w:themeColor="text2" w:themeTint="99"/>
          <w:lang w:val="en-US"/>
        </w:rPr>
        <w:t xml:space="preserve"> June</w:t>
      </w:r>
    </w:p>
    <w:p w14:paraId="17337322" w14:textId="5B0F2AEC" w:rsidR="0091730B" w:rsidRPr="00916805" w:rsidRDefault="0091730B"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First Republic Day……</w:t>
      </w:r>
      <w:r w:rsidR="00D138AC" w:rsidRPr="00916805">
        <w:rPr>
          <w:rFonts w:ascii="Sylfaen" w:eastAsia="Times New Roman" w:hAnsi="Sylfaen" w:cs="Times New Roman"/>
          <w:iCs/>
          <w:color w:val="548DD4" w:themeColor="text2" w:themeTint="99"/>
          <w:lang w:val="en-US"/>
        </w:rPr>
        <w:t>…….</w:t>
      </w:r>
      <w:r w:rsidRPr="00916805">
        <w:rPr>
          <w:rFonts w:ascii="Sylfaen" w:eastAsia="Times New Roman" w:hAnsi="Sylfaen" w:cs="Times New Roman"/>
          <w:iCs/>
          <w:color w:val="548DD4" w:themeColor="text2" w:themeTint="99"/>
          <w:lang w:val="en-US"/>
        </w:rPr>
        <w:t>………………………………………</w:t>
      </w:r>
      <w:r w:rsidR="00D138AC"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28 May</w:t>
      </w:r>
    </w:p>
    <w:p w14:paraId="0B344F0D" w14:textId="4AE3AB73" w:rsidR="002B097C" w:rsidRPr="00916805" w:rsidRDefault="00CE2592"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Spring</w:t>
      </w:r>
      <w:r w:rsidR="002B097C" w:rsidRPr="00916805">
        <w:rPr>
          <w:rFonts w:ascii="Sylfaen" w:eastAsia="Times New Roman" w:hAnsi="Sylfaen" w:cs="Times New Roman"/>
          <w:iCs/>
          <w:color w:val="548DD4" w:themeColor="text2" w:themeTint="99"/>
          <w:lang w:val="en-US"/>
        </w:rPr>
        <w:t xml:space="preserve"> Term Ends………………………………………………………</w:t>
      </w:r>
      <w:r w:rsidR="006940AF" w:rsidRPr="00916805">
        <w:rPr>
          <w:rFonts w:ascii="Sylfaen" w:eastAsia="Times New Roman" w:hAnsi="Sylfaen" w:cs="Times New Roman"/>
          <w:iCs/>
          <w:color w:val="548DD4" w:themeColor="text2" w:themeTint="99"/>
          <w:lang w:val="en-US"/>
        </w:rPr>
        <w:t>……</w:t>
      </w:r>
      <w:r w:rsidR="00436FCE" w:rsidRPr="00916805">
        <w:rPr>
          <w:rFonts w:ascii="Sylfaen" w:eastAsia="Times New Roman" w:hAnsi="Sylfaen" w:cs="Times New Roman"/>
          <w:iCs/>
          <w:color w:val="548DD4" w:themeColor="text2" w:themeTint="99"/>
          <w:lang w:val="en-US"/>
        </w:rPr>
        <w:t>.</w:t>
      </w:r>
      <w:r w:rsidR="006940AF" w:rsidRPr="00916805">
        <w:rPr>
          <w:rFonts w:ascii="Sylfaen" w:eastAsia="Times New Roman" w:hAnsi="Sylfaen" w:cs="Times New Roman"/>
          <w:iCs/>
          <w:color w:val="548DD4" w:themeColor="text2" w:themeTint="99"/>
          <w:lang w:val="en-US"/>
        </w:rPr>
        <w:t xml:space="preserve">    </w:t>
      </w:r>
      <w:r w:rsidR="002B097C" w:rsidRPr="00916805">
        <w:rPr>
          <w:rFonts w:ascii="Sylfaen" w:eastAsia="Times New Roman" w:hAnsi="Sylfaen" w:cs="Times New Roman"/>
          <w:iCs/>
          <w:color w:val="548DD4" w:themeColor="text2" w:themeTint="99"/>
          <w:lang w:val="en-US"/>
        </w:rPr>
        <w:t>1</w:t>
      </w:r>
      <w:r w:rsidR="001F14BC">
        <w:rPr>
          <w:rFonts w:ascii="Sylfaen" w:eastAsia="Times New Roman" w:hAnsi="Sylfaen" w:cs="Times New Roman"/>
          <w:iCs/>
          <w:color w:val="548DD4" w:themeColor="text2" w:themeTint="99"/>
          <w:lang w:val="en-US"/>
        </w:rPr>
        <w:t>2</w:t>
      </w:r>
      <w:r w:rsidR="002B097C" w:rsidRPr="00916805">
        <w:rPr>
          <w:rFonts w:ascii="Sylfaen" w:eastAsia="Times New Roman" w:hAnsi="Sylfaen" w:cs="Times New Roman"/>
          <w:iCs/>
          <w:color w:val="548DD4" w:themeColor="text2" w:themeTint="99"/>
          <w:lang w:val="en-US"/>
        </w:rPr>
        <w:t xml:space="preserve"> June </w:t>
      </w:r>
    </w:p>
    <w:p w14:paraId="1920C9F8" w14:textId="32E09A64" w:rsidR="002B097C" w:rsidRPr="00916805" w:rsidRDefault="002B097C"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1ts Reexamination Period……………………………………………………</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1</w:t>
      </w:r>
      <w:r w:rsidR="001F14BC">
        <w:rPr>
          <w:rFonts w:ascii="Sylfaen" w:eastAsia="Times New Roman" w:hAnsi="Sylfaen" w:cs="Times New Roman"/>
          <w:iCs/>
          <w:color w:val="548DD4" w:themeColor="text2" w:themeTint="99"/>
          <w:lang w:val="en-US"/>
        </w:rPr>
        <w:t>5</w:t>
      </w:r>
      <w:r w:rsidRPr="00916805">
        <w:rPr>
          <w:rFonts w:ascii="Sylfaen" w:eastAsia="Times New Roman" w:hAnsi="Sylfaen" w:cs="Times New Roman"/>
          <w:iCs/>
          <w:color w:val="548DD4" w:themeColor="text2" w:themeTint="99"/>
          <w:lang w:val="en-US"/>
        </w:rPr>
        <w:t xml:space="preserve"> June – 0</w:t>
      </w:r>
      <w:r w:rsidR="001F14BC">
        <w:rPr>
          <w:rFonts w:ascii="Sylfaen" w:eastAsia="Times New Roman" w:hAnsi="Sylfaen" w:cs="Times New Roman"/>
          <w:iCs/>
          <w:color w:val="548DD4" w:themeColor="text2" w:themeTint="99"/>
          <w:lang w:val="en-US"/>
        </w:rPr>
        <w:t>3</w:t>
      </w:r>
      <w:r w:rsidRPr="00916805">
        <w:rPr>
          <w:rFonts w:ascii="Sylfaen" w:eastAsia="Times New Roman" w:hAnsi="Sylfaen" w:cs="Times New Roman"/>
          <w:iCs/>
          <w:color w:val="548DD4" w:themeColor="text2" w:themeTint="99"/>
          <w:lang w:val="en-US"/>
        </w:rPr>
        <w:t xml:space="preserve"> July</w:t>
      </w:r>
    </w:p>
    <w:p w14:paraId="39945FB1" w14:textId="40D3A1B9" w:rsidR="006940AF" w:rsidRPr="00916805" w:rsidRDefault="00DE3AD4" w:rsidP="001C1482">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Admission Period for 2025-2026 …………………………….……………</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w:t>
      </w:r>
      <w:r w:rsidR="001F14BC">
        <w:rPr>
          <w:rFonts w:ascii="Sylfaen" w:eastAsia="Times New Roman" w:hAnsi="Sylfaen" w:cs="Times New Roman"/>
          <w:iCs/>
          <w:color w:val="548DD4" w:themeColor="text2" w:themeTint="99"/>
          <w:lang w:val="en-US"/>
        </w:rPr>
        <w:t>2</w:t>
      </w:r>
      <w:r w:rsidRPr="00916805">
        <w:rPr>
          <w:rFonts w:ascii="Sylfaen" w:eastAsia="Times New Roman" w:hAnsi="Sylfaen" w:cs="Times New Roman"/>
          <w:iCs/>
          <w:color w:val="548DD4" w:themeColor="text2" w:themeTint="99"/>
          <w:lang w:val="en-US"/>
        </w:rPr>
        <w:t xml:space="preserve"> June- 2</w:t>
      </w:r>
      <w:r w:rsidR="00E532E6" w:rsidRPr="00916805">
        <w:rPr>
          <w:rFonts w:ascii="Sylfaen" w:eastAsia="Times New Roman" w:hAnsi="Sylfaen" w:cs="Times New Roman"/>
          <w:iCs/>
          <w:color w:val="548DD4" w:themeColor="text2" w:themeTint="99"/>
          <w:lang w:val="en-US"/>
        </w:rPr>
        <w:t>6</w:t>
      </w:r>
      <w:r w:rsidRPr="00916805">
        <w:rPr>
          <w:rFonts w:ascii="Sylfaen" w:eastAsia="Times New Roman" w:hAnsi="Sylfaen" w:cs="Times New Roman"/>
          <w:iCs/>
          <w:color w:val="548DD4" w:themeColor="text2" w:themeTint="99"/>
          <w:lang w:val="en-US"/>
        </w:rPr>
        <w:t xml:space="preserve"> Aug</w:t>
      </w:r>
    </w:p>
    <w:p w14:paraId="4A7F4D56" w14:textId="47D55D2D" w:rsidR="00E532E6" w:rsidRPr="00916805" w:rsidRDefault="00E532E6" w:rsidP="00E532E6">
      <w:pPr>
        <w:spacing w:after="0"/>
        <w:rPr>
          <w:rFonts w:ascii="Sylfaen" w:eastAsia="Times New Roman" w:hAnsi="Sylfaen" w:cs="Times New Roman"/>
          <w:iCs/>
          <w:color w:val="548DD4" w:themeColor="text2" w:themeTint="99"/>
          <w:lang w:val="en-US"/>
        </w:rPr>
      </w:pPr>
      <w:r w:rsidRPr="00916805">
        <w:rPr>
          <w:rFonts w:ascii="Sylfaen" w:eastAsia="Times New Roman" w:hAnsi="Sylfaen" w:cs="Times New Roman"/>
          <w:iCs/>
          <w:color w:val="548DD4" w:themeColor="text2" w:themeTint="99"/>
          <w:lang w:val="en-US"/>
        </w:rPr>
        <w:t>Admission Interviews ………………………………...…….…………….....    27 Aug - 28 Aug</w:t>
      </w:r>
    </w:p>
    <w:p w14:paraId="4DCAE905" w14:textId="48412FE4" w:rsidR="00984C29" w:rsidRPr="00916805" w:rsidRDefault="002B097C" w:rsidP="001C1482">
      <w:pPr>
        <w:spacing w:after="0"/>
        <w:rPr>
          <w:rStyle w:val="Heading2Char"/>
          <w:rFonts w:eastAsiaTheme="minorEastAsia"/>
          <w:b w:val="0"/>
          <w:bCs w:val="0"/>
          <w:i w:val="0"/>
          <w:iCs/>
          <w:color w:val="auto"/>
          <w:sz w:val="22"/>
          <w:szCs w:val="22"/>
          <w:lang w:val="en-US"/>
        </w:rPr>
      </w:pPr>
      <w:r w:rsidRPr="00916805">
        <w:rPr>
          <w:rFonts w:ascii="Sylfaen" w:eastAsia="Times New Roman" w:hAnsi="Sylfaen" w:cs="Times New Roman"/>
          <w:iCs/>
          <w:color w:val="548DD4" w:themeColor="text2" w:themeTint="99"/>
          <w:lang w:val="en-US"/>
        </w:rPr>
        <w:t>2</w:t>
      </w:r>
      <w:r w:rsidRPr="00916805">
        <w:rPr>
          <w:rFonts w:ascii="Sylfaen" w:eastAsia="Times New Roman" w:hAnsi="Sylfaen" w:cs="Times New Roman"/>
          <w:iCs/>
          <w:color w:val="548DD4" w:themeColor="text2" w:themeTint="99"/>
          <w:vertAlign w:val="superscript"/>
          <w:lang w:val="en-US"/>
        </w:rPr>
        <w:t>nd</w:t>
      </w:r>
      <w:r w:rsidRPr="00916805">
        <w:rPr>
          <w:rFonts w:ascii="Sylfaen" w:eastAsia="Times New Roman" w:hAnsi="Sylfaen" w:cs="Times New Roman"/>
          <w:iCs/>
          <w:color w:val="548DD4" w:themeColor="text2" w:themeTint="99"/>
          <w:lang w:val="en-US"/>
        </w:rPr>
        <w:t xml:space="preserve"> Reexamination Period………………………………………………</w:t>
      </w:r>
      <w:r w:rsidR="006940AF" w:rsidRPr="00916805">
        <w:rPr>
          <w:rFonts w:ascii="Sylfaen" w:eastAsia="Times New Roman" w:hAnsi="Sylfaen" w:cs="Times New Roman"/>
          <w:iCs/>
          <w:color w:val="548DD4" w:themeColor="text2" w:themeTint="99"/>
          <w:lang w:val="en-US"/>
        </w:rPr>
        <w:t xml:space="preserve">……    </w:t>
      </w:r>
      <w:r w:rsidRPr="00916805">
        <w:rPr>
          <w:rFonts w:ascii="Sylfaen" w:eastAsia="Times New Roman" w:hAnsi="Sylfaen" w:cs="Times New Roman"/>
          <w:iCs/>
          <w:color w:val="548DD4" w:themeColor="text2" w:themeTint="99"/>
          <w:lang w:val="en-US"/>
        </w:rPr>
        <w:t>2</w:t>
      </w:r>
      <w:r w:rsidR="001F14BC">
        <w:rPr>
          <w:rFonts w:ascii="Sylfaen" w:eastAsia="Times New Roman" w:hAnsi="Sylfaen" w:cs="Times New Roman"/>
          <w:iCs/>
          <w:color w:val="548DD4" w:themeColor="text2" w:themeTint="99"/>
          <w:lang w:val="en-US"/>
        </w:rPr>
        <w:t>4</w:t>
      </w:r>
      <w:r w:rsidRPr="00916805">
        <w:rPr>
          <w:rFonts w:ascii="Sylfaen" w:eastAsia="Times New Roman" w:hAnsi="Sylfaen" w:cs="Times New Roman"/>
          <w:iCs/>
          <w:color w:val="548DD4" w:themeColor="text2" w:themeTint="99"/>
          <w:lang w:val="en-US"/>
        </w:rPr>
        <w:t xml:space="preserve"> August – 0</w:t>
      </w:r>
      <w:r w:rsidR="001F14BC">
        <w:rPr>
          <w:rFonts w:ascii="Sylfaen" w:eastAsia="Times New Roman" w:hAnsi="Sylfaen" w:cs="Times New Roman"/>
          <w:iCs/>
          <w:color w:val="548DD4" w:themeColor="text2" w:themeTint="99"/>
          <w:lang w:val="en-US"/>
        </w:rPr>
        <w:t>4</w:t>
      </w:r>
      <w:r w:rsidRPr="00916805">
        <w:rPr>
          <w:rFonts w:ascii="Sylfaen" w:eastAsia="Times New Roman" w:hAnsi="Sylfaen" w:cs="Times New Roman"/>
          <w:iCs/>
          <w:color w:val="548DD4" w:themeColor="text2" w:themeTint="99"/>
          <w:lang w:val="en-US"/>
        </w:rPr>
        <w:t xml:space="preserve"> Sep</w:t>
      </w:r>
      <w:r w:rsidR="00984C29" w:rsidRPr="00916805">
        <w:rPr>
          <w:rFonts w:ascii="Sylfaen" w:eastAsia="Times New Roman" w:hAnsi="Sylfaen" w:cs="Times New Roman"/>
          <w:b/>
          <w:bCs/>
          <w:iCs/>
          <w:caps/>
          <w:lang w:val="en-US"/>
        </w:rPr>
        <w:br w:type="page"/>
      </w:r>
      <w:bookmarkStart w:id="4" w:name="_Hlk184297874"/>
    </w:p>
    <w:p w14:paraId="58E7333D" w14:textId="1D5E132C" w:rsidR="00B008CF" w:rsidRPr="00916805" w:rsidRDefault="00B008CF" w:rsidP="00FF1C13">
      <w:pPr>
        <w:pStyle w:val="Heading1"/>
        <w:jc w:val="center"/>
        <w:rPr>
          <w:lang w:val="en-US"/>
        </w:rPr>
      </w:pPr>
      <w:bookmarkStart w:id="5" w:name="_DEAN’S_OFFICE_OF"/>
      <w:bookmarkStart w:id="6" w:name="_Toc207988626"/>
      <w:bookmarkEnd w:id="5"/>
      <w:r w:rsidRPr="00916805">
        <w:rPr>
          <w:lang w:val="en-US"/>
        </w:rPr>
        <w:lastRenderedPageBreak/>
        <w:t>DEAN’S OFFICE OF THE FACULTY OF PUBLIC HEALTH</w:t>
      </w:r>
      <w:bookmarkEnd w:id="6"/>
    </w:p>
    <w:p w14:paraId="78FDC0EA" w14:textId="0F4E12CF" w:rsidR="00984C29" w:rsidRPr="00916805" w:rsidRDefault="00076CF7">
      <w:pPr>
        <w:rPr>
          <w:rFonts w:ascii="Sylfaen" w:eastAsia="Times New Roman" w:hAnsi="Sylfaen" w:cs="Times New Roman"/>
          <w:b/>
          <w:bCs/>
          <w:iCs/>
          <w:caps/>
          <w:lang w:val="en-US"/>
        </w:rPr>
      </w:pPr>
      <w:r>
        <w:rPr>
          <w:rFonts w:ascii="Sylfaen" w:eastAsia="Times New Roman" w:hAnsi="Sylfaen" w:cs="Times New Roman"/>
          <w:b/>
          <w:bCs/>
          <w:iCs/>
          <w:caps/>
          <w:noProof/>
          <w:lang w:val="en-US"/>
        </w:rPr>
        <mc:AlternateContent>
          <mc:Choice Requires="wps">
            <w:drawing>
              <wp:anchor distT="0" distB="0" distL="114300" distR="114300" simplePos="0" relativeHeight="251661312" behindDoc="0" locked="0" layoutInCell="1" allowOverlap="1" wp14:anchorId="3B4B2B5A" wp14:editId="026F9FB2">
                <wp:simplePos x="0" y="0"/>
                <wp:positionH relativeFrom="column">
                  <wp:posOffset>453390</wp:posOffset>
                </wp:positionH>
                <wp:positionV relativeFrom="paragraph">
                  <wp:posOffset>80010</wp:posOffset>
                </wp:positionV>
                <wp:extent cx="5286375" cy="19685"/>
                <wp:effectExtent l="19050" t="27940" r="38100" b="47625"/>
                <wp:wrapNone/>
                <wp:docPr id="45778448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6375" cy="19685"/>
                        </a:xfrm>
                        <a:prstGeom prst="straightConnector1">
                          <a:avLst/>
                        </a:prstGeom>
                        <a:noFill/>
                        <a:ln w="38100">
                          <a:solidFill>
                            <a:schemeClr val="accent1">
                              <a:lumMod val="100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0626" id="AutoShape 11" o:spid="_x0000_s1026" type="#_x0000_t32" style="position:absolute;margin-left:35.7pt;margin-top:6.3pt;width:416.2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gZJwIAAGwEAAAOAAAAZHJzL2Uyb0RvYy54bWysVMFu2zAMvQ/YPwi6r7YTJE2NOj2k6y7d&#10;FiAddmYkORYmi4KkxMnfj5KbIFuxHYb5IEikSL5HPfr+4dgbdlA+aLQNr25KzpQVKLXdNfzby9OH&#10;BWchgpVg0KqGn1TgD8v37+4HV6sJdmik8oyS2FAPruFdjK4uiiA61UO4QacsOVv0PUQ6+l0hPQyU&#10;vTfFpCznxYBeOo9ChUDWx9HJlzl/2yoRv7ZtUJGZhhO2mFef121ai+U91DsPrtPiFQb8A4oetKWi&#10;l1SPEIHtvX6TqtfCY8A23gjsC2xbLVTmQGyq8jc2mw6cylyoOcFd2hT+X1rx5bCya5+gi6PduGcU&#10;PwKzuOrA7lQG8HJy9HBValUxuFBfQtIhuLVn2+EzSroD+4i5C8fW9ykl8WPH3OzTpdnqGJkg42yy&#10;mE9vZ5wJ8lV388UsV4D6HOx8iJ8U9ixtGh6iB73r4gqtpWdFX+VScHgOMUGD+hyQKlt80sbk1zWW&#10;DQ2fLqqyzBEBjZbJm+5loamV8ewAJBEQQtk4Zjb7nmiNdoqlb1QL2UlToz2bqPQlTQbySwWPeysz&#10;kE6B/Pi6j6DNuKdoYxMUleVKbHLn9lH5TScHJnViP1lM72iUpCbtThflvLy75QzMjoZORM+Zx/hd&#10;xy4/WGr1H7nNsuua2+wv1KAG4zoYyV4uviGMZ7SZ/hWRLJikkTSQod6iPK39WUgk6Xz/dfzSzFyf&#10;aX/9k1j+BAAA//8DAFBLAwQUAAYACAAAACEAHbgBe94AAAAIAQAADwAAAGRycy9kb3ducmV2Lnht&#10;bEyPQU+DQBCF7yb+h82YeLO7VAVKWZrG6MVEk9aaXheYApGdJey24L93POlx3nt58718M9teXHD0&#10;nSMN0UKBQKpc3VGj4fDxcpeC8MFQbXpHqOEbPWyK66vcZLWbaIeXfWgEl5DPjIY2hCGT0lctWuMX&#10;bkBi7+RGawKfYyPr0Uxcbnu5VCqW1nTEH1oz4FOL1df+bDVsd3iIj2+fr2l4f44mqZLymJZa397M&#10;2zWIgHP4C8MvPqNDwUylO1PtRa8hiR44yfoyBsH+St2vQJQsPCYgi1z+H1D8AAAA//8DAFBLAQIt&#10;ABQABgAIAAAAIQC2gziS/gAAAOEBAAATAAAAAAAAAAAAAAAAAAAAAABbQ29udGVudF9UeXBlc10u&#10;eG1sUEsBAi0AFAAGAAgAAAAhADj9If/WAAAAlAEAAAsAAAAAAAAAAAAAAAAALwEAAF9yZWxzLy5y&#10;ZWxzUEsBAi0AFAAGAAgAAAAhAJNeOBknAgAAbAQAAA4AAAAAAAAAAAAAAAAALgIAAGRycy9lMm9E&#10;b2MueG1sUEsBAi0AFAAGAAgAAAAhAB24AXveAAAACAEAAA8AAAAAAAAAAAAAAAAAgQQAAGRycy9k&#10;b3ducmV2LnhtbFBLBQYAAAAABAAEAPMAAACMBQAAAAA=&#10;" strokecolor="#4f81bd [3204]" strokeweight="3pt">
                <v:shadow on="t" color="#205867 [1608]" opacity=".5" offset="1pt"/>
              </v:shape>
            </w:pict>
          </mc:Fallback>
        </mc:AlternateContent>
      </w:r>
    </w:p>
    <w:bookmarkEnd w:id="4"/>
    <w:p w14:paraId="682CA836" w14:textId="793482EA" w:rsidR="002E3D1A" w:rsidRPr="00916805" w:rsidRDefault="002E3D1A" w:rsidP="002E3D1A">
      <w:pPr>
        <w:spacing w:after="0" w:line="240" w:lineRule="auto"/>
        <w:jc w:val="center"/>
        <w:rPr>
          <w:rFonts w:ascii="Sylfaen" w:hAnsi="Sylfaen"/>
          <w:color w:val="4F81BD" w:themeColor="accent1"/>
          <w:lang w:val="en-US"/>
        </w:rPr>
      </w:pPr>
      <w:r w:rsidRPr="00916805">
        <w:rPr>
          <w:rFonts w:ascii="Sylfaen" w:hAnsi="Sylfaen"/>
          <w:color w:val="4F81BD" w:themeColor="accent1"/>
          <w:lang w:val="en-US"/>
        </w:rPr>
        <w:t xml:space="preserve">The Faculty of Public Health </w:t>
      </w:r>
      <w:r w:rsidR="00512D8C" w:rsidRPr="00916805">
        <w:rPr>
          <w:rFonts w:ascii="Sylfaen" w:hAnsi="Sylfaen"/>
          <w:color w:val="4F81BD" w:themeColor="accent1"/>
          <w:lang w:val="en-US"/>
        </w:rPr>
        <w:t>o</w:t>
      </w:r>
      <w:r w:rsidRPr="00916805">
        <w:rPr>
          <w:rFonts w:ascii="Sylfaen" w:hAnsi="Sylfaen"/>
          <w:color w:val="4F81BD" w:themeColor="accent1"/>
          <w:lang w:val="en-US"/>
        </w:rPr>
        <w:t xml:space="preserve">f </w:t>
      </w:r>
    </w:p>
    <w:p w14:paraId="486B241F" w14:textId="28553706" w:rsidR="002E3D1A" w:rsidRPr="00916805" w:rsidRDefault="002E3D1A" w:rsidP="002E3D1A">
      <w:pPr>
        <w:spacing w:after="0" w:line="240" w:lineRule="auto"/>
        <w:jc w:val="center"/>
        <w:rPr>
          <w:rFonts w:ascii="Sylfaen" w:hAnsi="Sylfaen"/>
          <w:color w:val="4F81BD" w:themeColor="accent1"/>
          <w:lang w:val="en-US"/>
        </w:rPr>
      </w:pPr>
      <w:r w:rsidRPr="00916805">
        <w:rPr>
          <w:rFonts w:ascii="Sylfaen" w:hAnsi="Sylfaen"/>
          <w:color w:val="4F81BD" w:themeColor="accent1"/>
          <w:lang w:val="en-US"/>
        </w:rPr>
        <w:t xml:space="preserve">Yerevan State Medical University After Mkhitar </w:t>
      </w:r>
      <w:proofErr w:type="spellStart"/>
      <w:r w:rsidRPr="00916805">
        <w:rPr>
          <w:rFonts w:ascii="Sylfaen" w:hAnsi="Sylfaen"/>
          <w:color w:val="4F81BD" w:themeColor="accent1"/>
          <w:lang w:val="en-US"/>
        </w:rPr>
        <w:t>Heratsi</w:t>
      </w:r>
      <w:proofErr w:type="spellEnd"/>
    </w:p>
    <w:p w14:paraId="6A73841D" w14:textId="6CA04B50" w:rsidR="002E3D1A" w:rsidRPr="00916805" w:rsidRDefault="002E3D1A" w:rsidP="002E3D1A">
      <w:pPr>
        <w:spacing w:after="0" w:line="240" w:lineRule="auto"/>
        <w:jc w:val="center"/>
        <w:rPr>
          <w:rFonts w:ascii="Sylfaen" w:hAnsi="Sylfaen"/>
          <w:color w:val="4F81BD" w:themeColor="accent1"/>
          <w:lang w:val="en-US"/>
        </w:rPr>
      </w:pPr>
      <w:r w:rsidRPr="00916805">
        <w:rPr>
          <w:rFonts w:ascii="Sylfaen" w:hAnsi="Sylfaen"/>
          <w:color w:val="4F81BD" w:themeColor="accent1"/>
          <w:lang w:val="en-US"/>
        </w:rPr>
        <w:t xml:space="preserve">RA, Yerevan, 0025, 2 </w:t>
      </w:r>
      <w:proofErr w:type="spellStart"/>
      <w:r w:rsidRPr="00916805">
        <w:rPr>
          <w:rFonts w:ascii="Sylfaen" w:hAnsi="Sylfaen"/>
          <w:color w:val="4F81BD" w:themeColor="accent1"/>
          <w:lang w:val="en-US"/>
        </w:rPr>
        <w:t>Koryun</w:t>
      </w:r>
      <w:proofErr w:type="spellEnd"/>
      <w:r w:rsidRPr="00916805">
        <w:rPr>
          <w:rFonts w:ascii="Sylfaen" w:hAnsi="Sylfaen"/>
          <w:color w:val="4F81BD" w:themeColor="accent1"/>
          <w:lang w:val="en-US"/>
        </w:rPr>
        <w:t>,</w:t>
      </w:r>
    </w:p>
    <w:p w14:paraId="0E624F50" w14:textId="77777777" w:rsidR="002E3D1A" w:rsidRPr="00916805" w:rsidRDefault="002E3D1A" w:rsidP="002E3D1A">
      <w:pPr>
        <w:spacing w:after="0" w:line="240" w:lineRule="auto"/>
        <w:jc w:val="center"/>
        <w:rPr>
          <w:rFonts w:ascii="Sylfaen" w:hAnsi="Sylfaen"/>
          <w:color w:val="4F81BD" w:themeColor="accent1"/>
          <w:lang w:val="en-US"/>
        </w:rPr>
      </w:pPr>
      <w:r w:rsidRPr="00916805">
        <w:rPr>
          <w:rFonts w:ascii="Sylfaen" w:hAnsi="Sylfaen"/>
          <w:color w:val="4F81BD" w:themeColor="accent1"/>
          <w:lang w:val="en-US"/>
        </w:rPr>
        <w:t xml:space="preserve">Tel.: (+37410) 301 000 (ext. 308), </w:t>
      </w:r>
    </w:p>
    <w:p w14:paraId="4FFA328D" w14:textId="6C896DE0" w:rsidR="002E3D1A" w:rsidRPr="00916805" w:rsidRDefault="002E3D1A" w:rsidP="002E3D1A">
      <w:pPr>
        <w:spacing w:after="0" w:line="240" w:lineRule="auto"/>
        <w:jc w:val="center"/>
        <w:rPr>
          <w:rFonts w:ascii="Sylfaen" w:hAnsi="Sylfaen"/>
          <w:color w:val="4F81BD" w:themeColor="accent1"/>
          <w:lang w:val="en-US"/>
        </w:rPr>
      </w:pPr>
      <w:r w:rsidRPr="00916805">
        <w:rPr>
          <w:rFonts w:ascii="Sylfaen" w:hAnsi="Sylfaen"/>
          <w:color w:val="4F81BD" w:themeColor="accent1"/>
          <w:lang w:val="en-US"/>
        </w:rPr>
        <w:t xml:space="preserve">E-mail: </w:t>
      </w:r>
      <w:hyperlink r:id="rId11" w:history="1">
        <w:r w:rsidRPr="00916805">
          <w:rPr>
            <w:rStyle w:val="Hyperlink"/>
            <w:rFonts w:ascii="Sylfaen" w:hAnsi="Sylfaen"/>
            <w:lang w:val="en-US"/>
          </w:rPr>
          <w:t>mph@ysmu.am</w:t>
        </w:r>
      </w:hyperlink>
    </w:p>
    <w:p w14:paraId="641BAB23" w14:textId="1E146D3F" w:rsidR="002E3D1A" w:rsidRPr="00916805" w:rsidRDefault="002E3D1A" w:rsidP="002E3D1A">
      <w:pPr>
        <w:spacing w:after="0" w:line="240" w:lineRule="auto"/>
        <w:jc w:val="center"/>
        <w:rPr>
          <w:rFonts w:ascii="Sylfaen" w:hAnsi="Sylfaen"/>
          <w:color w:val="4F81BD" w:themeColor="accent1"/>
          <w:lang w:val="en-US"/>
        </w:rPr>
      </w:pPr>
      <w:hyperlink r:id="rId12" w:history="1">
        <w:r w:rsidRPr="00916805">
          <w:rPr>
            <w:rStyle w:val="Hyperlink"/>
            <w:rFonts w:ascii="Sylfaen" w:hAnsi="Sylfaen"/>
            <w:lang w:val="en-US"/>
          </w:rPr>
          <w:t>https://ysmu.am/en/faculty/faculty-of-public-health/</w:t>
        </w:r>
      </w:hyperlink>
      <w:r w:rsidRPr="00916805">
        <w:rPr>
          <w:rFonts w:ascii="Sylfaen" w:hAnsi="Sylfaen"/>
          <w:color w:val="4F81BD" w:themeColor="accent1"/>
          <w:lang w:val="en-US"/>
        </w:rPr>
        <w:t xml:space="preserve"> </w:t>
      </w:r>
    </w:p>
    <w:p w14:paraId="596698A1" w14:textId="77777777" w:rsidR="002E3D1A" w:rsidRPr="00916805" w:rsidRDefault="002E3D1A" w:rsidP="002E3D1A">
      <w:pPr>
        <w:spacing w:after="0" w:line="240" w:lineRule="auto"/>
        <w:jc w:val="center"/>
        <w:rPr>
          <w:rFonts w:ascii="Sylfaen" w:hAnsi="Sylfaen"/>
          <w:b/>
          <w:bCs/>
          <w:color w:val="4F81BD" w:themeColor="accent1"/>
          <w:lang w:val="en-US"/>
        </w:rPr>
      </w:pPr>
    </w:p>
    <w:p w14:paraId="17C2E462" w14:textId="357B61E0" w:rsidR="00984C29" w:rsidRPr="00916805" w:rsidRDefault="00984C29" w:rsidP="00984C29">
      <w:pPr>
        <w:spacing w:after="0" w:line="240" w:lineRule="auto"/>
        <w:jc w:val="center"/>
        <w:rPr>
          <w:rFonts w:ascii="Sylfaen" w:hAnsi="Sylfaen"/>
          <w:b/>
          <w:bCs/>
          <w:color w:val="4F81BD"/>
          <w:lang w:val="en-US"/>
        </w:rPr>
      </w:pPr>
      <w:r w:rsidRPr="00916805">
        <w:rPr>
          <w:rFonts w:ascii="Sylfaen" w:hAnsi="Sylfaen"/>
          <w:b/>
          <w:bCs/>
          <w:color w:val="4F81BD"/>
          <w:lang w:val="en-US"/>
        </w:rPr>
        <w:t>STAFF</w:t>
      </w:r>
    </w:p>
    <w:tbl>
      <w:tblPr>
        <w:tblStyle w:val="TableGrid"/>
        <w:tblW w:w="0" w:type="auto"/>
        <w:jc w:val="center"/>
        <w:tblLook w:val="04A0" w:firstRow="1" w:lastRow="0" w:firstColumn="1" w:lastColumn="0" w:noHBand="0" w:noVBand="1"/>
      </w:tblPr>
      <w:tblGrid>
        <w:gridCol w:w="2526"/>
        <w:gridCol w:w="5952"/>
      </w:tblGrid>
      <w:tr w:rsidR="00F36D94" w:rsidRPr="00916805" w14:paraId="4A8D6177" w14:textId="77777777" w:rsidTr="002E3D1A">
        <w:trPr>
          <w:jc w:val="center"/>
        </w:trPr>
        <w:tc>
          <w:tcPr>
            <w:tcW w:w="2526" w:type="dxa"/>
          </w:tcPr>
          <w:p w14:paraId="4AE91978" w14:textId="5359748E" w:rsidR="00984C29" w:rsidRPr="00916805" w:rsidRDefault="00984C29"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aps/>
                <w:color w:val="4F81BD"/>
                <w:lang w:val="en-US"/>
              </w:rPr>
              <w:t>Position</w:t>
            </w:r>
          </w:p>
        </w:tc>
        <w:tc>
          <w:tcPr>
            <w:tcW w:w="5952" w:type="dxa"/>
          </w:tcPr>
          <w:p w14:paraId="6B82F405" w14:textId="335FCAAA" w:rsidR="00984C29" w:rsidRPr="00916805" w:rsidRDefault="00984C29" w:rsidP="00512D8C">
            <w:pPr>
              <w:spacing w:line="480" w:lineRule="auto"/>
              <w:jc w:val="center"/>
              <w:rPr>
                <w:rFonts w:ascii="Sylfaen" w:eastAsia="Times New Roman" w:hAnsi="Sylfaen" w:cs="Times New Roman"/>
                <w:b/>
                <w:bCs/>
                <w:iCs/>
                <w:caps/>
                <w:color w:val="4F81BD"/>
                <w:lang w:val="en-US"/>
              </w:rPr>
            </w:pPr>
            <w:r w:rsidRPr="00916805">
              <w:rPr>
                <w:rFonts w:ascii="Sylfaen" w:eastAsia="Times New Roman" w:hAnsi="Sylfaen" w:cs="Times New Roman"/>
                <w:b/>
                <w:bCs/>
                <w:iCs/>
                <w:caps/>
                <w:color w:val="4F81BD"/>
                <w:lang w:val="en-US"/>
              </w:rPr>
              <w:t>Name, Last Name</w:t>
            </w:r>
          </w:p>
        </w:tc>
      </w:tr>
      <w:tr w:rsidR="00984C29" w:rsidRPr="00ED06FB" w14:paraId="176142AB" w14:textId="77777777" w:rsidTr="002E3D1A">
        <w:trPr>
          <w:jc w:val="center"/>
        </w:trPr>
        <w:tc>
          <w:tcPr>
            <w:tcW w:w="2526" w:type="dxa"/>
          </w:tcPr>
          <w:p w14:paraId="2CE0DF55" w14:textId="162B65DC" w:rsidR="00984C29" w:rsidRPr="00916805" w:rsidRDefault="00746B03"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olor w:val="4F81BD"/>
                <w:lang w:val="en-US"/>
              </w:rPr>
              <w:t>Dean</w:t>
            </w:r>
          </w:p>
        </w:tc>
        <w:tc>
          <w:tcPr>
            <w:tcW w:w="5952" w:type="dxa"/>
          </w:tcPr>
          <w:p w14:paraId="49E49632" w14:textId="7B8D06B5" w:rsidR="00984C29" w:rsidRPr="00916805" w:rsidRDefault="003658A7" w:rsidP="002E3D1A">
            <w:pPr>
              <w:spacing w:line="480" w:lineRule="auto"/>
              <w:rPr>
                <w:rFonts w:ascii="Sylfaen" w:eastAsia="Times New Roman" w:hAnsi="Sylfaen" w:cs="Times New Roman"/>
                <w:iCs/>
                <w:caps/>
                <w:color w:val="4F81BD" w:themeColor="accent1"/>
                <w:lang w:val="en-US"/>
              </w:rPr>
            </w:pPr>
            <w:r w:rsidRPr="00916805">
              <w:rPr>
                <w:rFonts w:ascii="Sylfaen" w:eastAsia="Times New Roman" w:hAnsi="Sylfaen" w:cs="Times New Roman"/>
                <w:iCs/>
                <w:color w:val="4F81BD" w:themeColor="accent1"/>
                <w:lang w:val="en-US"/>
              </w:rPr>
              <w:t>Marine Hovhannisyan MD, MPH, D.Sc. Professor</w:t>
            </w:r>
          </w:p>
        </w:tc>
      </w:tr>
      <w:tr w:rsidR="00984C29" w:rsidRPr="00916805" w14:paraId="086C80A6" w14:textId="77777777" w:rsidTr="002E3D1A">
        <w:trPr>
          <w:jc w:val="center"/>
        </w:trPr>
        <w:tc>
          <w:tcPr>
            <w:tcW w:w="2526" w:type="dxa"/>
          </w:tcPr>
          <w:p w14:paraId="09474B94" w14:textId="11E32243" w:rsidR="00984C29" w:rsidRPr="00916805" w:rsidRDefault="00746B03"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olor w:val="4F81BD"/>
                <w:lang w:val="en-US"/>
              </w:rPr>
              <w:t>Deputy Dean</w:t>
            </w:r>
          </w:p>
        </w:tc>
        <w:tc>
          <w:tcPr>
            <w:tcW w:w="5952" w:type="dxa"/>
          </w:tcPr>
          <w:p w14:paraId="0F2B1BC0" w14:textId="2CD30160" w:rsidR="00984C29" w:rsidRPr="00916805" w:rsidRDefault="003658A7" w:rsidP="002E3D1A">
            <w:pPr>
              <w:spacing w:line="480" w:lineRule="auto"/>
              <w:rPr>
                <w:rFonts w:ascii="Sylfaen" w:eastAsia="Times New Roman" w:hAnsi="Sylfaen" w:cs="Times New Roman"/>
                <w:iCs/>
                <w:caps/>
                <w:color w:val="4F81BD" w:themeColor="accent1"/>
                <w:lang w:val="en-US"/>
              </w:rPr>
            </w:pPr>
            <w:r w:rsidRPr="00916805">
              <w:rPr>
                <w:rFonts w:ascii="Sylfaen" w:eastAsia="Times New Roman" w:hAnsi="Sylfaen" w:cs="Times New Roman"/>
                <w:iCs/>
                <w:color w:val="4F81BD" w:themeColor="accent1"/>
                <w:lang w:val="en-US"/>
              </w:rPr>
              <w:t>Gayane Ghavalyan MD, MPH</w:t>
            </w:r>
          </w:p>
        </w:tc>
      </w:tr>
      <w:tr w:rsidR="00984C29" w:rsidRPr="00916805" w14:paraId="2B00D371" w14:textId="77777777" w:rsidTr="002E3D1A">
        <w:trPr>
          <w:jc w:val="center"/>
        </w:trPr>
        <w:tc>
          <w:tcPr>
            <w:tcW w:w="2526" w:type="dxa"/>
          </w:tcPr>
          <w:p w14:paraId="11FC95CC" w14:textId="6A2C12C5" w:rsidR="00984C29" w:rsidRPr="00916805" w:rsidRDefault="00746B03"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olor w:val="4F81BD"/>
                <w:lang w:val="en-US"/>
              </w:rPr>
              <w:t>Leading Specialist</w:t>
            </w:r>
          </w:p>
        </w:tc>
        <w:tc>
          <w:tcPr>
            <w:tcW w:w="5952" w:type="dxa"/>
          </w:tcPr>
          <w:p w14:paraId="220B6A7C" w14:textId="4978CB9A" w:rsidR="00984C29" w:rsidRPr="00916805" w:rsidRDefault="003658A7" w:rsidP="002E3D1A">
            <w:pPr>
              <w:spacing w:line="480" w:lineRule="auto"/>
              <w:rPr>
                <w:rFonts w:ascii="Sylfaen" w:eastAsia="Times New Roman" w:hAnsi="Sylfaen" w:cs="Times New Roman"/>
                <w:iCs/>
                <w:caps/>
                <w:color w:val="4F81BD" w:themeColor="accent1"/>
                <w:lang w:val="en-US"/>
              </w:rPr>
            </w:pPr>
            <w:r w:rsidRPr="00916805">
              <w:rPr>
                <w:rFonts w:ascii="Sylfaen" w:eastAsia="Times New Roman" w:hAnsi="Sylfaen" w:cs="Times New Roman"/>
                <w:iCs/>
                <w:color w:val="4F81BD" w:themeColor="accent1"/>
                <w:lang w:val="en-US"/>
              </w:rPr>
              <w:t>Astghik Stepanyan MPH</w:t>
            </w:r>
          </w:p>
        </w:tc>
      </w:tr>
      <w:tr w:rsidR="00984C29" w:rsidRPr="00916805" w14:paraId="604561BA" w14:textId="77777777" w:rsidTr="002E3D1A">
        <w:trPr>
          <w:jc w:val="center"/>
        </w:trPr>
        <w:tc>
          <w:tcPr>
            <w:tcW w:w="2526" w:type="dxa"/>
          </w:tcPr>
          <w:p w14:paraId="4590192D" w14:textId="1BC91B0E" w:rsidR="00984C29" w:rsidRPr="00916805" w:rsidRDefault="00746B03"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olor w:val="4F81BD"/>
                <w:lang w:val="en-US"/>
              </w:rPr>
              <w:t xml:space="preserve">Head Specialist </w:t>
            </w:r>
          </w:p>
        </w:tc>
        <w:tc>
          <w:tcPr>
            <w:tcW w:w="5952" w:type="dxa"/>
          </w:tcPr>
          <w:p w14:paraId="4422B385" w14:textId="60B9E16B" w:rsidR="00984C29" w:rsidRPr="00916805" w:rsidRDefault="003658A7" w:rsidP="002E3D1A">
            <w:pPr>
              <w:spacing w:line="480" w:lineRule="auto"/>
              <w:rPr>
                <w:rFonts w:ascii="Sylfaen" w:eastAsia="Times New Roman" w:hAnsi="Sylfaen" w:cs="Times New Roman"/>
                <w:iCs/>
                <w:caps/>
                <w:color w:val="4F81BD" w:themeColor="accent1"/>
                <w:lang w:val="en-US"/>
              </w:rPr>
            </w:pPr>
            <w:r w:rsidRPr="00916805">
              <w:rPr>
                <w:rFonts w:ascii="Sylfaen" w:eastAsia="Times New Roman" w:hAnsi="Sylfaen" w:cs="Times New Roman"/>
                <w:iCs/>
                <w:color w:val="4F81BD" w:themeColor="accent1"/>
                <w:lang w:val="en-US"/>
              </w:rPr>
              <w:t xml:space="preserve">Alina </w:t>
            </w:r>
            <w:r w:rsidR="00144870" w:rsidRPr="00916805">
              <w:rPr>
                <w:rFonts w:ascii="Sylfaen" w:eastAsia="Times New Roman" w:hAnsi="Sylfaen" w:cs="Times New Roman"/>
                <w:iCs/>
                <w:color w:val="4F81BD" w:themeColor="accent1"/>
                <w:lang w:val="en-US"/>
              </w:rPr>
              <w:t xml:space="preserve">Gzraryan </w:t>
            </w:r>
            <w:r w:rsidRPr="00916805">
              <w:rPr>
                <w:rFonts w:ascii="Sylfaen" w:eastAsia="Times New Roman" w:hAnsi="Sylfaen" w:cs="Times New Roman"/>
                <w:iCs/>
                <w:color w:val="4F81BD" w:themeColor="accent1"/>
                <w:lang w:val="en-US"/>
              </w:rPr>
              <w:t>MD</w:t>
            </w:r>
          </w:p>
        </w:tc>
      </w:tr>
      <w:tr w:rsidR="003658A7" w:rsidRPr="00916805" w14:paraId="02C8602F" w14:textId="77777777" w:rsidTr="002E3D1A">
        <w:trPr>
          <w:jc w:val="center"/>
        </w:trPr>
        <w:tc>
          <w:tcPr>
            <w:tcW w:w="2526" w:type="dxa"/>
          </w:tcPr>
          <w:p w14:paraId="3684F007" w14:textId="105AB817" w:rsidR="003658A7" w:rsidRPr="00916805" w:rsidRDefault="00746B03" w:rsidP="002E3D1A">
            <w:pPr>
              <w:spacing w:line="480" w:lineRule="auto"/>
              <w:rPr>
                <w:rFonts w:ascii="Sylfaen" w:eastAsia="Times New Roman" w:hAnsi="Sylfaen" w:cs="Times New Roman"/>
                <w:b/>
                <w:bCs/>
                <w:iCs/>
                <w:caps/>
                <w:color w:val="4F81BD"/>
                <w:lang w:val="en-US"/>
              </w:rPr>
            </w:pPr>
            <w:r w:rsidRPr="00916805">
              <w:rPr>
                <w:rFonts w:ascii="Sylfaen" w:eastAsia="Times New Roman" w:hAnsi="Sylfaen" w:cs="Times New Roman"/>
                <w:b/>
                <w:bCs/>
                <w:iCs/>
                <w:color w:val="4F81BD"/>
                <w:lang w:val="en-US"/>
              </w:rPr>
              <w:t>Scientific Secretary</w:t>
            </w:r>
          </w:p>
        </w:tc>
        <w:tc>
          <w:tcPr>
            <w:tcW w:w="5952" w:type="dxa"/>
          </w:tcPr>
          <w:p w14:paraId="24F915DC" w14:textId="48216D88" w:rsidR="003658A7" w:rsidRPr="00916805" w:rsidRDefault="003658A7" w:rsidP="002E3D1A">
            <w:pPr>
              <w:spacing w:line="480" w:lineRule="auto"/>
              <w:rPr>
                <w:rFonts w:ascii="Sylfaen" w:eastAsia="Times New Roman" w:hAnsi="Sylfaen" w:cs="Times New Roman"/>
                <w:iCs/>
                <w:caps/>
                <w:color w:val="4F81BD" w:themeColor="accent1"/>
                <w:lang w:val="en-US"/>
              </w:rPr>
            </w:pPr>
            <w:r w:rsidRPr="00916805">
              <w:rPr>
                <w:rFonts w:ascii="Sylfaen" w:eastAsia="Times New Roman" w:hAnsi="Sylfaen" w:cs="Times New Roman"/>
                <w:iCs/>
                <w:color w:val="4F81BD" w:themeColor="accent1"/>
                <w:lang w:val="en-US"/>
              </w:rPr>
              <w:t>Naira Khachikyan MD, PhD</w:t>
            </w:r>
          </w:p>
        </w:tc>
      </w:tr>
    </w:tbl>
    <w:p w14:paraId="5CDF6515" w14:textId="49495C92" w:rsidR="00984C29" w:rsidRPr="00916805" w:rsidRDefault="00984C29">
      <w:pPr>
        <w:rPr>
          <w:rFonts w:ascii="Sylfaen" w:eastAsia="Times New Roman" w:hAnsi="Sylfaen" w:cs="Times New Roman"/>
          <w:b/>
          <w:bCs/>
          <w:iCs/>
          <w:caps/>
          <w:lang w:val="en-US"/>
        </w:rPr>
      </w:pPr>
      <w:r w:rsidRPr="00916805">
        <w:rPr>
          <w:rFonts w:ascii="Sylfaen" w:eastAsia="Times New Roman" w:hAnsi="Sylfaen" w:cs="Times New Roman"/>
          <w:b/>
          <w:bCs/>
          <w:iCs/>
          <w:caps/>
          <w:lang w:val="en-US"/>
        </w:rPr>
        <w:br w:type="page"/>
      </w:r>
    </w:p>
    <w:p w14:paraId="71B7CE6B" w14:textId="723EA7E9" w:rsidR="002E3D1A" w:rsidRPr="00916805" w:rsidRDefault="00B008CF" w:rsidP="00FF1C13">
      <w:pPr>
        <w:pStyle w:val="Heading1"/>
        <w:jc w:val="center"/>
      </w:pPr>
      <w:bookmarkStart w:id="7" w:name="_PROGRAM_OVERVIEW"/>
      <w:bookmarkStart w:id="8" w:name="_Toc207988627"/>
      <w:bookmarkEnd w:id="7"/>
      <w:r w:rsidRPr="00916805">
        <w:lastRenderedPageBreak/>
        <w:t>PROGRAM OVERVIEW</w:t>
      </w:r>
      <w:bookmarkEnd w:id="8"/>
    </w:p>
    <w:p w14:paraId="3376DB41" w14:textId="2F7D0CF6" w:rsidR="002E3D1A" w:rsidRPr="00916805" w:rsidRDefault="00076CF7" w:rsidP="002E3D1A">
      <w:pPr>
        <w:rPr>
          <w:rFonts w:ascii="Sylfaen" w:eastAsia="Times New Roman" w:hAnsi="Sylfaen" w:cs="Times New Roman"/>
          <w:b/>
          <w:bCs/>
          <w:iCs/>
          <w:caps/>
          <w:lang w:val="en-US"/>
        </w:rPr>
      </w:pPr>
      <w:r>
        <w:rPr>
          <w:rFonts w:ascii="Sylfaen" w:eastAsia="Times New Roman" w:hAnsi="Sylfaen" w:cs="Times New Roman"/>
          <w:b/>
          <w:bCs/>
          <w:iCs/>
          <w:caps/>
          <w:noProof/>
          <w:lang w:val="en-US"/>
        </w:rPr>
        <mc:AlternateContent>
          <mc:Choice Requires="wps">
            <w:drawing>
              <wp:anchor distT="0" distB="0" distL="114300" distR="114300" simplePos="0" relativeHeight="251663360" behindDoc="0" locked="0" layoutInCell="1" allowOverlap="1" wp14:anchorId="443649BE" wp14:editId="32C7A120">
                <wp:simplePos x="0" y="0"/>
                <wp:positionH relativeFrom="column">
                  <wp:posOffset>1034415</wp:posOffset>
                </wp:positionH>
                <wp:positionV relativeFrom="paragraph">
                  <wp:posOffset>60325</wp:posOffset>
                </wp:positionV>
                <wp:extent cx="4248150" cy="19685"/>
                <wp:effectExtent l="19050" t="27305" r="38100" b="48260"/>
                <wp:wrapNone/>
                <wp:docPr id="11500836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19685"/>
                        </a:xfrm>
                        <a:prstGeom prst="straightConnector1">
                          <a:avLst/>
                        </a:prstGeom>
                        <a:noFill/>
                        <a:ln w="38100">
                          <a:solidFill>
                            <a:schemeClr val="accent1">
                              <a:lumMod val="100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D970E" id="AutoShape 12" o:spid="_x0000_s1026" type="#_x0000_t32" style="position:absolute;margin-left:81.45pt;margin-top:4.75pt;width:334.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OdJwIAAGwEAAAOAAAAZHJzL2Uyb0RvYy54bWysVMFu2zAMvQ/YPwi6r7aTpkuMOD2k6y7d&#10;VqAddmYkORYmi4KkxMnfj5KbIF2xHYb5IEikSL5HPXp5e+gN2ysfNNqGV1clZ8oKlNpuG/79+f7D&#10;nLMQwUowaFXDjyrw29X7d8vB1WqCHRqpPKMkNtSDa3gXo6uLIohO9RCu0ClLzhZ9D5GOfltIDwNl&#10;700xKcubYkAvnUehQiDr3ejkq5y/bZWI39o2qMhMwwlbzKvP6yatxWoJ9daD67R4gQH/gKIHbano&#10;OdUdRGA7r9+k6rXwGLCNVwL7AttWC5U5EJuq/I3NUwdOZS7UnODObQr/L634ul/bR5+gi4N9cg8o&#10;fgZmcd2B3aoM4Pno6OGq1KpicKE+h6RDcI+ebYYvKOkO7CLmLhxa36eUxI8dcrOP52arQ2SCjNeT&#10;63k1ozcR5KsWN/NZrgD1Kdj5ED8r7FnaNDxED3rbxTVaS8+KvsqlYP8QYoIG9SkgVbZ4r43Jr2ss&#10;Gxo+nVdlmSMCGi2TN93LQlNr49keSCIghLJxzGx2PdEa7RRL36gWspOmRns2UelzmgzkVQWPOysz&#10;kE6B/PSyj6DNuKdoYxMUleVKbHLndlH5p04OTOrEfjKfLmiUpCbtTuflTbn4yBmYLQ2diJ4zj/GH&#10;jl1+sNTqP3KbZdclt9lfqEENxnUwkj1ffEMYT2gz/QsiWTBJI2kgQ71BeXz0JyGRpPP9l/FLM3N5&#10;pv3lT2L1CwAA//8DAFBLAwQUAAYACAAAACEAoHLczdwAAAAIAQAADwAAAGRycy9kb3ducmV2Lnht&#10;bEyPQUvDQBCF74L/YZmCN7tJpDGN2ZQieikotFZ63WTHJDQ7G7LbJv57x5MeP97jzTfFZra9uOLo&#10;O0cK4mUEAql2pqNGwfHj9T4D4YMmo3tHqOAbPWzK25tC58ZNtMfrITSCR8jnWkEbwpBL6esWrfZL&#10;NyBx9uVGqwPj2Egz6onHbS+TKEql1R3xhVYP+NxifT5crILtHo/p6e1zl4X3l3iS0WN1yiql7hbz&#10;9glEwDn8leFXn9WhZKfKXch40TOnyZqrCtYrEJxnDzFzxUGSgiwL+f+B8gcAAP//AwBQSwECLQAU&#10;AAYACAAAACEAtoM4kv4AAADhAQAAEwAAAAAAAAAAAAAAAAAAAAAAW0NvbnRlbnRfVHlwZXNdLnht&#10;bFBLAQItABQABgAIAAAAIQA4/SH/1gAAAJQBAAALAAAAAAAAAAAAAAAAAC8BAABfcmVscy8ucmVs&#10;c1BLAQItABQABgAIAAAAIQAFfJOdJwIAAGwEAAAOAAAAAAAAAAAAAAAAAC4CAABkcnMvZTJvRG9j&#10;LnhtbFBLAQItABQABgAIAAAAIQCgctzN3AAAAAgBAAAPAAAAAAAAAAAAAAAAAIEEAABkcnMvZG93&#10;bnJldi54bWxQSwUGAAAAAAQABADzAAAAigUAAAAA&#10;" strokecolor="#4f81bd [3204]" strokeweight="3pt">
                <v:shadow on="t" color="#205867 [1608]" opacity=".5" offset="1pt"/>
              </v:shape>
            </w:pict>
          </mc:Fallback>
        </mc:AlternateContent>
      </w:r>
    </w:p>
    <w:p w14:paraId="09CE17BF" w14:textId="44639A9F" w:rsidR="00D5153D" w:rsidRPr="00D5153D" w:rsidRDefault="00D5153D" w:rsidP="00D5153D">
      <w:pPr>
        <w:spacing w:after="0" w:line="240" w:lineRule="auto"/>
        <w:jc w:val="both"/>
        <w:rPr>
          <w:rFonts w:ascii="Sylfaen" w:eastAsia="Calibri" w:hAnsi="Sylfaen" w:cs="Times New Roman"/>
          <w:color w:val="000000"/>
          <w:lang w:val="en-GB" w:eastAsia="nl-NL"/>
        </w:rPr>
      </w:pPr>
      <w:bookmarkStart w:id="9" w:name="_Objectives"/>
      <w:bookmarkEnd w:id="9"/>
      <w:r w:rsidRPr="00D5153D">
        <w:rPr>
          <w:rFonts w:ascii="Sylfaen" w:eastAsia="Calibri" w:hAnsi="Sylfaen" w:cs="Times New Roman"/>
          <w:color w:val="000000"/>
          <w:lang w:val="en-GB" w:eastAsia="nl-NL"/>
        </w:rPr>
        <w:t xml:space="preserve">The Master of Public Health (MPH) in Healthcare Management and Planning at Yerevan State Medical University (YSMU) is a structured, full-time, on-campus program delivered over 18 months (three consecutive semesters). It prepares future public health professionals with the theoretical knowledge, applied skills, and strategic leadership capacities needed to strengthen health systems in Armenia and internationally. The program emphasizes both foundational public health principles and advanced competencies in healthcare planning and management, with particular focus on evolving health system challenges such as digital transformation, health literacy, misinformation, and system resilience. </w:t>
      </w:r>
    </w:p>
    <w:p w14:paraId="4271C251" w14:textId="77777777" w:rsidR="00D5153D" w:rsidRPr="00D5153D" w:rsidRDefault="00D5153D" w:rsidP="00D5153D">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The program awards 90 ECTS credits, fully aligned with Armenian higher education regulations and the European Credit Transfer and Accumulation System (ECTS), where 1 ECTS equates to 30 hours of student workload. It adheres to the European Qualifications Framework (EQF) Level 7 descriptors, ensuring graduates possess advanced knowledge and demonstrate critical thinking, problem-solving, and decision-making skills for complex public health environments.</w:t>
      </w:r>
    </w:p>
    <w:p w14:paraId="213885A7" w14:textId="3C2F8E71" w:rsidR="00D5153D" w:rsidRPr="00D5153D" w:rsidRDefault="00D5153D" w:rsidP="00D5153D">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Instruction is conducted in Armenian, with course materials based on internationally recognized sources, including WHO technical guidelines, European public health frameworks, and authoritative academic textbooks widely used in global public health education.</w:t>
      </w:r>
    </w:p>
    <w:p w14:paraId="106C248C" w14:textId="77777777" w:rsidR="00D5153D" w:rsidRPr="00D5153D" w:rsidRDefault="00D5153D" w:rsidP="00D5153D">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Delivered in intensive two-week modules, the program allows students to focus on one subject at a time. The first semester builds foundational skills in epidemiology, biostatistics, research methods, and public health theory, alongside introductory training in planning and management. The second semester deepens applied competencies in leadership, human resources, economics, hospital administration, and health policy. The third semester emphasizes integration and specialization through modules on digital health, health promotion, comparative health systems, and thesis preparation.</w:t>
      </w:r>
    </w:p>
    <w:p w14:paraId="0FBCD6DD" w14:textId="77777777" w:rsidR="00D5153D" w:rsidRPr="00D5153D" w:rsidRDefault="00D5153D" w:rsidP="00D5153D">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Key features of the program include its interdisciplinary design, integration with Armenia’s public health institutions, alignment with national reform goals, and emphasis on real-world application. Students engage with planning tools, benefit package models, and simulated decision-making using Armenian data. They explore inclusive communication strategies, stakeholder engagement, and the ethical use of digital technologies.</w:t>
      </w:r>
    </w:p>
    <w:p w14:paraId="5A8B900F" w14:textId="77777777" w:rsidR="00D5153D" w:rsidRPr="00D5153D" w:rsidRDefault="00D5153D" w:rsidP="00D5153D">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Designed for early- and mid-career professionals, as well as recent graduates in medicine, pharmacy, biology, and social sciences, the program builds competencies in healthcare planning, management, and evidence-informed policymaking.</w:t>
      </w:r>
    </w:p>
    <w:p w14:paraId="3D5A619E" w14:textId="77777777" w:rsidR="00B34606" w:rsidRDefault="00D5153D" w:rsidP="00B34606">
      <w:pPr>
        <w:spacing w:after="0" w:line="240" w:lineRule="auto"/>
        <w:jc w:val="both"/>
        <w:rPr>
          <w:rFonts w:ascii="Sylfaen" w:eastAsia="Calibri" w:hAnsi="Sylfaen" w:cs="Times New Roman"/>
          <w:color w:val="000000"/>
          <w:lang w:val="en-GB" w:eastAsia="nl-NL"/>
        </w:rPr>
      </w:pPr>
      <w:r w:rsidRPr="00D5153D">
        <w:rPr>
          <w:rFonts w:ascii="Sylfaen" w:eastAsia="Calibri" w:hAnsi="Sylfaen" w:cs="Times New Roman"/>
          <w:color w:val="000000"/>
          <w:lang w:val="en-GB" w:eastAsia="nl-NL"/>
        </w:rPr>
        <w:t xml:space="preserve">The curriculum culminates in a three-part integrating experience: a written master’s thesis, an interdisciplinary computer-based examination, and an oral </w:t>
      </w:r>
      <w:proofErr w:type="spellStart"/>
      <w:r w:rsidRPr="00D5153D">
        <w:rPr>
          <w:rFonts w:ascii="Sylfaen" w:eastAsia="Calibri" w:hAnsi="Sylfaen" w:cs="Times New Roman"/>
          <w:color w:val="000000"/>
          <w:lang w:val="en-GB" w:eastAsia="nl-NL"/>
        </w:rPr>
        <w:t>defense</w:t>
      </w:r>
      <w:proofErr w:type="spellEnd"/>
      <w:r w:rsidRPr="00D5153D">
        <w:rPr>
          <w:rFonts w:ascii="Sylfaen" w:eastAsia="Calibri" w:hAnsi="Sylfaen" w:cs="Times New Roman"/>
          <w:color w:val="000000"/>
          <w:lang w:val="en-GB" w:eastAsia="nl-NL"/>
        </w:rPr>
        <w:t>. The structured progression—from foundational knowledge to applied systems-level skills—ensures graduates are well-prepared to lead in healthcare management, health policy, and system strengthening both in Armenia and globally.</w:t>
      </w:r>
    </w:p>
    <w:p w14:paraId="14865AF2" w14:textId="5AE269FC" w:rsidR="00CF126F" w:rsidRPr="00B34606" w:rsidRDefault="00FF1C13" w:rsidP="00FF1C13">
      <w:pPr>
        <w:pStyle w:val="Heading2"/>
        <w:jc w:val="left"/>
        <w:rPr>
          <w:rFonts w:eastAsia="Calibri" w:cstheme="majorBidi"/>
          <w:lang w:val="en-US" w:eastAsia="en-US"/>
        </w:rPr>
      </w:pPr>
      <w:bookmarkStart w:id="10" w:name="_Toc207988628"/>
      <w:r>
        <w:rPr>
          <w:rFonts w:eastAsia="Calibri"/>
          <w:lang w:val="en-US" w:eastAsia="en-US"/>
        </w:rPr>
        <w:t xml:space="preserve">Program </w:t>
      </w:r>
      <w:r w:rsidR="006B3020" w:rsidRPr="00B34606">
        <w:rPr>
          <w:rFonts w:eastAsia="Calibri"/>
          <w:lang w:val="en-US" w:eastAsia="en-US"/>
        </w:rPr>
        <w:t>Objectives</w:t>
      </w:r>
      <w:bookmarkEnd w:id="10"/>
    </w:p>
    <w:p w14:paraId="3CFCA89B" w14:textId="77777777" w:rsidR="004F5ABA" w:rsidRPr="004F5ABA" w:rsidRDefault="004F5ABA" w:rsidP="004F5ABA">
      <w:pPr>
        <w:pStyle w:val="ListBullet"/>
        <w:numPr>
          <w:ilvl w:val="0"/>
          <w:numId w:val="0"/>
        </w:numPr>
        <w:spacing w:after="0" w:line="240" w:lineRule="auto"/>
        <w:rPr>
          <w:rFonts w:ascii="Sylfaen" w:eastAsia="Calibri" w:hAnsi="Sylfaen" w:cs="Times New Roman"/>
          <w:color w:val="000000"/>
          <w:lang w:val="en-GB" w:eastAsia="nl-NL"/>
        </w:rPr>
      </w:pPr>
      <w:bookmarkStart w:id="11" w:name="_Program_competences_and"/>
      <w:bookmarkEnd w:id="11"/>
      <w:r w:rsidRPr="004F5ABA">
        <w:rPr>
          <w:rFonts w:ascii="Sylfaen" w:eastAsia="Calibri" w:hAnsi="Sylfaen" w:cs="Times New Roman"/>
          <w:color w:val="000000"/>
          <w:lang w:val="en-GB" w:eastAsia="nl-NL"/>
        </w:rPr>
        <w:t>MPH in Healthcare Management and Planning is designed:</w:t>
      </w:r>
    </w:p>
    <w:p w14:paraId="43DD03F2"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provide students with a comprehensive foundation in public health theory, methods, and principles as applied to healthcare planning and management, with particular relevance to the health system of Armenia.</w:t>
      </w:r>
    </w:p>
    <w:p w14:paraId="10ED3941"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develop students’ capacity to assess population health needs and to plan, manage, and evaluate healthcare services and public health interventions at local, national, and international levels.</w:t>
      </w:r>
    </w:p>
    <w:p w14:paraId="77BA1A06"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cultivate critical thinking, leadership, and communication skills for evidence-based decision-making in diverse, interdisciplinary, and intersectoral health system contexts.</w:t>
      </w:r>
    </w:p>
    <w:p w14:paraId="398546D9"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prepare students to address emerging challenges in public health—including health literacy, digital health transformation, and misinformation—through inclusive, data-driven strategies.</w:t>
      </w:r>
    </w:p>
    <w:p w14:paraId="48FBD79C" w14:textId="341DA713"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lastRenderedPageBreak/>
        <w:t>To equip students with the ability to identify and address health inequalities and social determinants of health through strategic planning, program implementation, and policy development, with emphasis on underserved populations in Armenia.</w:t>
      </w:r>
    </w:p>
    <w:p w14:paraId="008B6147"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ensure that graduates apply ethical reasoning, human rights frameworks, and principles of equity and accountability in public health practice, in accordance with both international standards and Armenia’s legal and policy frameworks.</w:t>
      </w:r>
    </w:p>
    <w:p w14:paraId="7E1F9FF4"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prepare students to integrate their learning through the completion of a high-quality, research- or practice-based dissertation that addresses real-world healthcare system challenges in Armenia and comparable global contexts.</w:t>
      </w:r>
    </w:p>
    <w:p w14:paraId="1E485891" w14:textId="77777777" w:rsidR="004F5ABA" w:rsidRPr="004F5ABA" w:rsidRDefault="004F5ABA" w:rsidP="004F5ABA">
      <w:pPr>
        <w:pStyle w:val="ListBullet"/>
        <w:numPr>
          <w:ilvl w:val="0"/>
          <w:numId w:val="34"/>
        </w:numPr>
        <w:spacing w:after="0" w:line="240" w:lineRule="auto"/>
        <w:rPr>
          <w:rFonts w:ascii="Sylfaen" w:eastAsia="Calibri" w:hAnsi="Sylfaen" w:cs="Times New Roman"/>
          <w:color w:val="000000"/>
          <w:lang w:val="en-GB" w:eastAsia="nl-NL"/>
        </w:rPr>
      </w:pPr>
      <w:r w:rsidRPr="004F5ABA">
        <w:rPr>
          <w:rFonts w:ascii="Sylfaen" w:eastAsia="Calibri" w:hAnsi="Sylfaen" w:cs="Times New Roman"/>
          <w:color w:val="000000"/>
          <w:lang w:val="en-GB" w:eastAsia="nl-NL"/>
        </w:rPr>
        <w:t>To strengthen student competencies in resilience-building, climate-sensitive planning, and intersectoral action in fragile and resource-constrained health systems.</w:t>
      </w:r>
    </w:p>
    <w:p w14:paraId="0AA5AFB9" w14:textId="6113C652" w:rsidR="00644247" w:rsidRPr="00B34606" w:rsidRDefault="00644247" w:rsidP="00FF1C13">
      <w:pPr>
        <w:pStyle w:val="Heading2"/>
        <w:jc w:val="left"/>
        <w:rPr>
          <w:rFonts w:eastAsia="Calibri"/>
          <w:lang w:val="en-US" w:eastAsia="en-US"/>
        </w:rPr>
      </w:pPr>
      <w:bookmarkStart w:id="12" w:name="_Toc207988629"/>
      <w:r w:rsidRPr="00B34606">
        <w:rPr>
          <w:rFonts w:eastAsia="Calibri"/>
          <w:lang w:val="en-US" w:eastAsia="en-US"/>
        </w:rPr>
        <w:t xml:space="preserve">Program </w:t>
      </w:r>
      <w:r w:rsidR="00B119BD" w:rsidRPr="00B34606">
        <w:rPr>
          <w:rFonts w:eastAsia="Calibri"/>
          <w:lang w:val="en-US" w:eastAsia="en-US"/>
        </w:rPr>
        <w:t xml:space="preserve">competences and </w:t>
      </w:r>
      <w:r w:rsidRPr="00B34606">
        <w:rPr>
          <w:rFonts w:eastAsia="Calibri"/>
          <w:lang w:val="en-US" w:eastAsia="en-US"/>
        </w:rPr>
        <w:t>learning outcomes</w:t>
      </w:r>
      <w:bookmarkEnd w:id="12"/>
    </w:p>
    <w:p w14:paraId="23133F45" w14:textId="77777777" w:rsidR="00FA35DE" w:rsidRPr="00FA35DE" w:rsidRDefault="00FA35DE" w:rsidP="00FA35DE">
      <w:pPr>
        <w:tabs>
          <w:tab w:val="left" w:pos="256"/>
        </w:tabs>
        <w:autoSpaceDE w:val="0"/>
        <w:autoSpaceDN w:val="0"/>
        <w:adjustRightInd w:val="0"/>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On completion of the programme, graduates of the MPH in Healthcare Management and Planning program will be able to:</w:t>
      </w:r>
    </w:p>
    <w:p w14:paraId="346EF75C"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Apply a range of epidemiological, statistical, and analytical methods to assess population health needs, monitor public health trends, and evaluate the performance and impact of healthcare systems and services, including those in Armenia.</w:t>
      </w:r>
    </w:p>
    <w:p w14:paraId="20144E3B"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Design, implement, and evaluate public health programmes and health service interventions that are based on population needs, contextual evidence, and public health priorities, with sensitivity to the resource and infrastructure constraints common in Armenia and similar settings.</w:t>
      </w:r>
    </w:p>
    <w:p w14:paraId="4609DDB0"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Critically analyse health systems, governance structures, policies, and financing mechanisms, including Armenia’s healthcare reforms and national health programmes, and propose evidence-based strategies to improve equity, efficiency, and access in service delivery.</w:t>
      </w:r>
    </w:p>
    <w:p w14:paraId="038A81E2"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Demonstrate leadership, communication, and strategic management skills that are applicable to interdisciplinary teams and intersectoral collaborations in public health, both in Armenia and in international practice.</w:t>
      </w:r>
    </w:p>
    <w:p w14:paraId="73A55F84"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Communicate complex public health issues effectively to diverse audiences, including policymakers, professional peers, and community stakeholders, using appropriate channels and formats.</w:t>
      </w:r>
    </w:p>
    <w:p w14:paraId="2A4E2F6F"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Integrate ethical reasoning, human rights principles, and social justice frameworks into public health policy analysis, programme design, and service implementation, with a focus on addressing health inequities in Armenia.</w:t>
      </w:r>
    </w:p>
    <w:p w14:paraId="147E7F22"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Conduct independent public health research or applied field projects using appropriate quantitative, qualitative, or mixed-methods approaches, aligned with ethical standards and national priorities.</w:t>
      </w:r>
    </w:p>
    <w:p w14:paraId="53DFEB9B"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Work collaboratively across disciplines and sectors to address complex public health problems, including the integration of digital health tools, community-based strategies, intersectoral surveillance systems, and coordinated responses to zoonotic and environmental health threats.</w:t>
      </w:r>
    </w:p>
    <w:p w14:paraId="505E723F"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Demonstrate the ability to promote public health literacy and address misinformation through digital and interpersonal communication strategies.</w:t>
      </w:r>
    </w:p>
    <w:p w14:paraId="5251CC07" w14:textId="77777777" w:rsidR="00FA35DE" w:rsidRPr="00FA35DE" w:rsidRDefault="00FA35DE" w:rsidP="00FA35DE">
      <w:pPr>
        <w:pStyle w:val="ListParagraph"/>
        <w:numPr>
          <w:ilvl w:val="0"/>
          <w:numId w:val="35"/>
        </w:numPr>
        <w:tabs>
          <w:tab w:val="left" w:pos="256"/>
        </w:tabs>
        <w:spacing w:after="0" w:line="240" w:lineRule="auto"/>
        <w:rPr>
          <w:rFonts w:ascii="Sylfaen" w:eastAsia="Calibri" w:hAnsi="Sylfaen" w:cs="Times New Roman"/>
          <w:color w:val="000000"/>
          <w:lang w:val="en-GB" w:eastAsia="nl-NL"/>
        </w:rPr>
      </w:pPr>
      <w:r w:rsidRPr="00FA35DE">
        <w:rPr>
          <w:rFonts w:ascii="Sylfaen" w:eastAsia="Calibri" w:hAnsi="Sylfaen" w:cs="Times New Roman"/>
          <w:color w:val="000000"/>
          <w:lang w:val="en-GB" w:eastAsia="nl-NL"/>
        </w:rPr>
        <w:t>Critically reflect on national and global health system challenges, including post-conflict recovery, climate-related risks, and workforce shortages in Armenia, and formulate context-sensitive, sustainable, and practical solutions.</w:t>
      </w:r>
    </w:p>
    <w:p w14:paraId="5CF60087" w14:textId="77777777" w:rsidR="00FF1C13" w:rsidRDefault="00FF1C13" w:rsidP="00FF1C13">
      <w:pPr>
        <w:pStyle w:val="Heading2"/>
        <w:jc w:val="left"/>
        <w:rPr>
          <w:rFonts w:eastAsia="Calibri"/>
          <w:lang w:val="en-US" w:eastAsia="en-US"/>
        </w:rPr>
      </w:pPr>
      <w:bookmarkStart w:id="13" w:name="_Toc207988630"/>
    </w:p>
    <w:p w14:paraId="7D1F9370" w14:textId="77777777" w:rsidR="00FF1C13" w:rsidRDefault="00FF1C13" w:rsidP="00FF1C13">
      <w:pPr>
        <w:pStyle w:val="Heading2"/>
        <w:jc w:val="left"/>
        <w:rPr>
          <w:rFonts w:eastAsia="Calibri"/>
          <w:lang w:val="en-US" w:eastAsia="en-US"/>
        </w:rPr>
      </w:pPr>
    </w:p>
    <w:p w14:paraId="51B908B5" w14:textId="647F279D" w:rsidR="009D1CB6" w:rsidRPr="009D1CB6" w:rsidRDefault="009D1CB6" w:rsidP="00FF1C13">
      <w:pPr>
        <w:pStyle w:val="Heading2"/>
        <w:jc w:val="left"/>
        <w:rPr>
          <w:rFonts w:eastAsia="Calibri"/>
          <w:lang w:val="en-US" w:eastAsia="en-US"/>
        </w:rPr>
      </w:pPr>
      <w:r w:rsidRPr="00916805">
        <w:rPr>
          <w:rFonts w:eastAsia="Calibri"/>
          <w:lang w:val="en-US" w:eastAsia="en-US"/>
        </w:rPr>
        <w:lastRenderedPageBreak/>
        <w:t>Timetable &amp; Structure</w:t>
      </w:r>
      <w:bookmarkEnd w:id="13"/>
    </w:p>
    <w:p w14:paraId="6C273839" w14:textId="77777777"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The curriculum is structured to promote progressive competence development, beginning with foundational knowledge and research methods in public health and culminating in the integration and application of those skills through practice-oriented coursework, strategic management modules, and a research-based thesis. It consists of 25 compulsory modules (3 ECTS each), one elective module (3 ECTS), and a master’s thesis (12 ECTS). Each module concludes with a summative assessment, and students are allowed up to two re-sit opportunities. Re-sits for the first and second semesters are held post-semester, while the third semester allows in-semester re-sits to support timely graduation.</w:t>
      </w:r>
    </w:p>
    <w:p w14:paraId="37A4E383" w14:textId="77777777"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Teaching is delivered using an intensive, modular block format, where each module carries 3 ECTS credits and is delivered over a two-week period. Regular classes are held on Mondays, Wednesdays, and Fridays to allow time for independent study, thesis development, and supervisory consultation. To accommodate working professionals, all modules are offered in two fixed shifts—morning (09:00–14:00) and afternoon (15:00–20:00)—with students selecting one shift for the full program. Exceptions to the M/W/F schedule are made for Data Management and Biostatistics I &amp; II, which are delivered daily to support intensive skill-building. The structured academic calendar includes three semesters (Fall, Spring, and Final Fall), with diploma issuance scheduled for February upon successful completion of all graduation requirements.</w:t>
      </w:r>
    </w:p>
    <w:p w14:paraId="4BB8EC49" w14:textId="77777777"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The curriculum ensures the progressive development of core public health competencies with clear thematic emphasis by semester. The first semester lays the foundational knowledge and research skills in public health. It introduces students to quantitative and qualitative research methods, core statistical and epidemiological tools, and the social, behavioural, and environmental determinants of health. Students also explore introductory health management and planning concepts. The second semester builds on foundational knowledge by focusing on advanced methods, managerial functions, and public health program design. Students explore leadership, ethics, health financing, human resources, and policy-making, alongside continued statistical and epidemiological training. The final semester emphasizes the integration and application of public health competencies through specialized modules and a comprehensive capstone. Students engage in health systems comparison, marketing, digital health, and thesis preparation. The semester culminates with an integrating experience comprising a written master’s thesis, interdisciplinary exam, and oral defence. Students also select an elective in a specialized area such as global health, healthcare in emergencies, injury prevention, or healthcare system strengthening. Elective courses allow students to tailor part of their learning to areas of specific interest or relevance to their professional goals, enabling deeper engagement within the general public health framework.</w:t>
      </w:r>
    </w:p>
    <w:p w14:paraId="104D823E" w14:textId="3EED4191"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A research seminar is integrated into the final semester to support students in the design and execution of their master’s thesis. The semester concludes with submission of the written thesis, a computer-based interdisciplinary examination, and the oral defence of the thesis. The interdisciplinary examination is a multiple-choice test designed to assess students’ integrated knowledge across the core subjects of healthcare management and planning, including healthcare management, healthcare planning, and healthcare quality management. This structured progression ensures comprehensive coverage from foundational knowledge and methods, to systems and policy, and integrative, cross-cutting experience.</w:t>
      </w:r>
    </w:p>
    <w:p w14:paraId="088A3036" w14:textId="2EF931AB"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 xml:space="preserve">The programme does not include a formal internship or practicum component. Practical competencies are developed through scenario-based exercises, case studies, policy simulations, stakeholder engagement, and a master’s thesis focused on real-world public health challenges in Armenia. Additionally, the programme benefits from the active involvement of invited lecturers from Armenia’s Ministry of Health, NCDC, </w:t>
      </w:r>
      <w:r w:rsidRPr="009D1CB6">
        <w:rPr>
          <w:rFonts w:ascii="Sylfaen" w:eastAsia="Calibri" w:hAnsi="Sylfaen" w:cs="Times New Roman"/>
          <w:color w:val="000000"/>
          <w:lang w:val="en-GB" w:eastAsia="nl-NL"/>
        </w:rPr>
        <w:lastRenderedPageBreak/>
        <w:t>international organizations (including WHO and UNICEF), and public health NGOs, who bring direct field experience and policy-level expertise into the classroom. Students also gain practical exposure through participation in ongoing research activities, including collaborative survey-based studies conducted annually in partnership with international academic institutions such as the University of California, Los Angeles (UCLA),</w:t>
      </w:r>
      <w:r w:rsidRPr="009D1CB6">
        <w:rPr>
          <w:rFonts w:ascii="Sylfaen" w:eastAsia="Calibri" w:hAnsi="Sylfaen" w:cs="Times New Roman"/>
          <w:lang w:val="en-GB" w:eastAsia="en-US"/>
        </w:rPr>
        <w:t xml:space="preserve"> </w:t>
      </w:r>
      <w:r w:rsidRPr="009D1CB6">
        <w:rPr>
          <w:rFonts w:ascii="Sylfaen" w:eastAsia="Calibri" w:hAnsi="Sylfaen" w:cs="Times New Roman"/>
          <w:color w:val="000000"/>
          <w:lang w:val="en-GB" w:eastAsia="nl-NL"/>
        </w:rPr>
        <w:t>the University of Utah and public health NGOs (e.g. Children of Armenia Fund-COAF, The Task Force for Global Health</w:t>
      </w:r>
      <w:r w:rsidRPr="009D1CB6">
        <w:rPr>
          <w:rFonts w:ascii="Sylfaen" w:eastAsia="Calibri" w:hAnsi="Sylfaen" w:cs="Times New Roman"/>
          <w:lang w:val="en-GB" w:eastAsia="en-US"/>
        </w:rPr>
        <w:t>-</w:t>
      </w:r>
      <w:r w:rsidRPr="009D1CB6">
        <w:rPr>
          <w:rFonts w:ascii="Sylfaen" w:eastAsia="Calibri" w:hAnsi="Sylfaen" w:cs="Times New Roman"/>
          <w:color w:val="000000"/>
          <w:lang w:val="en-GB" w:eastAsia="nl-NL"/>
        </w:rPr>
        <w:t>TFGH). These projects involve student participation in training sessions, data collection through interviews, focus groups, and stakeholder engagement on priority public health topics in Armenia, as well as manuscript development. Through these activities, students acquire real-world competencies in applied research, scientific communication, and population health assessment. Collectively, these elements enable students to engage directly with contemporary public health challenges, reinforce experiential learning, and develop the professional readiness typically associated with internships—while preserving the flexibility and academic intensity of the programme’s 18-month modular structure.</w:t>
      </w:r>
    </w:p>
    <w:p w14:paraId="3868371F" w14:textId="77777777"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A wide range of teaching and learning activities is employed throughout the programme, including lectures, seminars, group discussions, oral presentations, academic writing exercises and case analysis. Students also engage in peer feedback, policy simulation exercises, and guided research development. These activities are designed to promote analytical thinking, collaborative learning, and the practical application of public health knowledge to contemporary challenges.</w:t>
      </w:r>
    </w:p>
    <w:p w14:paraId="11178040" w14:textId="77777777" w:rsidR="009D1CB6" w:rsidRPr="009D1CB6" w:rsidRDefault="009D1CB6" w:rsidP="009D1CB6">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The academic calendar is organized according to a structured schedule that follows a sequential modular delivery format. The first semester runs from September to the end of January, followed by the second semester from February to mid-June. A summer break is observed from late June through August. During the summer vacation period between the second and third semesters, students are expected to continue working on their master’s thesis under mentors’ supervision, allowing for uninterrupted progress toward final submission and defence. The third semester begins in September and extends through February, encompassing coursework, thesis development, the interdisciplinary examination, final thesis defence and official diploma issuance.</w:t>
      </w:r>
    </w:p>
    <w:p w14:paraId="4D9FBE83" w14:textId="77777777" w:rsidR="009D1CB6" w:rsidRPr="009D1CB6" w:rsidRDefault="009D1CB6" w:rsidP="009D1CB6">
      <w:pPr>
        <w:ind w:left="360"/>
        <w:contextualSpacing/>
        <w:jc w:val="both"/>
        <w:rPr>
          <w:rFonts w:ascii="Sylfaen" w:hAnsi="Sylfaen"/>
          <w:color w:val="000000"/>
          <w:lang w:val="en-US" w:eastAsia="nl-NL"/>
        </w:rPr>
      </w:pPr>
    </w:p>
    <w:tbl>
      <w:tblPr>
        <w:tblStyle w:val="TableGrid2"/>
        <w:tblW w:w="9237" w:type="dxa"/>
        <w:tblInd w:w="-28" w:type="dxa"/>
        <w:tblLook w:val="04A0" w:firstRow="1" w:lastRow="0" w:firstColumn="1" w:lastColumn="0" w:noHBand="0" w:noVBand="1"/>
      </w:tblPr>
      <w:tblGrid>
        <w:gridCol w:w="1724"/>
        <w:gridCol w:w="1560"/>
        <w:gridCol w:w="992"/>
        <w:gridCol w:w="4961"/>
      </w:tblGrid>
      <w:tr w:rsidR="009D1CB6" w:rsidRPr="009D1CB6" w14:paraId="7E7D8151" w14:textId="77777777" w:rsidTr="008C613C">
        <w:tc>
          <w:tcPr>
            <w:tcW w:w="1724" w:type="dxa"/>
          </w:tcPr>
          <w:p w14:paraId="045C8854" w14:textId="77777777" w:rsidR="009D1CB6" w:rsidRPr="009D1CB6" w:rsidRDefault="009D1CB6" w:rsidP="009D1CB6">
            <w:pPr>
              <w:contextualSpacing/>
              <w:jc w:val="both"/>
              <w:rPr>
                <w:rFonts w:ascii="Sylfaen" w:hAnsi="Sylfaen"/>
                <w:b/>
                <w:bCs/>
                <w:color w:val="000000"/>
                <w:sz w:val="22"/>
                <w:szCs w:val="22"/>
                <w:lang w:eastAsia="nl-NL"/>
              </w:rPr>
            </w:pPr>
            <w:r w:rsidRPr="009D1CB6">
              <w:rPr>
                <w:rFonts w:ascii="Sylfaen" w:hAnsi="Sylfaen"/>
                <w:b/>
                <w:bCs/>
                <w:color w:val="000000"/>
                <w:sz w:val="22"/>
                <w:szCs w:val="22"/>
                <w:lang w:eastAsia="nl-NL"/>
              </w:rPr>
              <w:t>Semester</w:t>
            </w:r>
          </w:p>
        </w:tc>
        <w:tc>
          <w:tcPr>
            <w:tcW w:w="1560" w:type="dxa"/>
          </w:tcPr>
          <w:p w14:paraId="6CE69EBB" w14:textId="77777777" w:rsidR="009D1CB6" w:rsidRPr="009D1CB6" w:rsidRDefault="009D1CB6" w:rsidP="009D1CB6">
            <w:pPr>
              <w:contextualSpacing/>
              <w:jc w:val="both"/>
              <w:rPr>
                <w:rFonts w:ascii="Sylfaen" w:hAnsi="Sylfaen"/>
                <w:b/>
                <w:bCs/>
                <w:color w:val="000000"/>
                <w:sz w:val="22"/>
                <w:szCs w:val="22"/>
                <w:lang w:eastAsia="nl-NL"/>
              </w:rPr>
            </w:pPr>
            <w:r w:rsidRPr="009D1CB6">
              <w:rPr>
                <w:rFonts w:ascii="Sylfaen" w:hAnsi="Sylfaen"/>
                <w:b/>
                <w:bCs/>
                <w:color w:val="000000"/>
                <w:sz w:val="22"/>
                <w:szCs w:val="22"/>
                <w:lang w:eastAsia="nl-NL"/>
              </w:rPr>
              <w:t>Period</w:t>
            </w:r>
          </w:p>
        </w:tc>
        <w:tc>
          <w:tcPr>
            <w:tcW w:w="992" w:type="dxa"/>
          </w:tcPr>
          <w:p w14:paraId="6664702E" w14:textId="77777777" w:rsidR="009D1CB6" w:rsidRPr="009D1CB6" w:rsidRDefault="009D1CB6" w:rsidP="009D1CB6">
            <w:pPr>
              <w:contextualSpacing/>
              <w:jc w:val="both"/>
              <w:rPr>
                <w:rFonts w:ascii="Sylfaen" w:hAnsi="Sylfaen"/>
                <w:b/>
                <w:bCs/>
                <w:color w:val="000000"/>
                <w:sz w:val="22"/>
                <w:szCs w:val="22"/>
                <w:lang w:eastAsia="nl-NL"/>
              </w:rPr>
            </w:pPr>
            <w:r w:rsidRPr="009D1CB6">
              <w:rPr>
                <w:rFonts w:ascii="Sylfaen" w:hAnsi="Sylfaen"/>
                <w:b/>
                <w:bCs/>
                <w:color w:val="000000"/>
                <w:sz w:val="22"/>
                <w:szCs w:val="22"/>
                <w:lang w:eastAsia="nl-NL"/>
              </w:rPr>
              <w:t>ECTS</w:t>
            </w:r>
          </w:p>
        </w:tc>
        <w:tc>
          <w:tcPr>
            <w:tcW w:w="4961" w:type="dxa"/>
          </w:tcPr>
          <w:p w14:paraId="3630857B" w14:textId="77777777" w:rsidR="009D1CB6" w:rsidRPr="009D1CB6" w:rsidRDefault="009D1CB6" w:rsidP="009D1CB6">
            <w:pPr>
              <w:contextualSpacing/>
              <w:jc w:val="both"/>
              <w:rPr>
                <w:rFonts w:ascii="Sylfaen" w:hAnsi="Sylfaen"/>
                <w:b/>
                <w:bCs/>
                <w:color w:val="000000"/>
                <w:sz w:val="22"/>
                <w:szCs w:val="22"/>
                <w:lang w:eastAsia="nl-NL"/>
              </w:rPr>
            </w:pPr>
            <w:r w:rsidRPr="009D1CB6">
              <w:rPr>
                <w:rFonts w:ascii="Sylfaen" w:hAnsi="Sylfaen"/>
                <w:b/>
                <w:bCs/>
                <w:color w:val="000000"/>
                <w:sz w:val="22"/>
                <w:szCs w:val="22"/>
                <w:lang w:eastAsia="nl-NL"/>
              </w:rPr>
              <w:t>Focus</w:t>
            </w:r>
          </w:p>
        </w:tc>
      </w:tr>
      <w:tr w:rsidR="009D1CB6" w:rsidRPr="00ED06FB" w14:paraId="3DBB637B" w14:textId="77777777" w:rsidTr="008C613C">
        <w:tc>
          <w:tcPr>
            <w:tcW w:w="1724" w:type="dxa"/>
          </w:tcPr>
          <w:p w14:paraId="2FD70520"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Semester 1 (Fall – Year 1)</w:t>
            </w:r>
          </w:p>
        </w:tc>
        <w:tc>
          <w:tcPr>
            <w:tcW w:w="1560" w:type="dxa"/>
          </w:tcPr>
          <w:p w14:paraId="66EC6A79"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September – January</w:t>
            </w:r>
          </w:p>
        </w:tc>
        <w:tc>
          <w:tcPr>
            <w:tcW w:w="992" w:type="dxa"/>
          </w:tcPr>
          <w:p w14:paraId="16BD9999" w14:textId="77777777" w:rsidR="009D1CB6" w:rsidRPr="009D1CB6" w:rsidRDefault="009D1CB6" w:rsidP="009D1CB6">
            <w:pPr>
              <w:contextualSpacing/>
              <w:jc w:val="both"/>
              <w:rPr>
                <w:rFonts w:ascii="Sylfaen" w:hAnsi="Sylfaen"/>
                <w:color w:val="000000"/>
                <w:sz w:val="22"/>
                <w:szCs w:val="22"/>
                <w:lang w:eastAsia="nl-NL"/>
              </w:rPr>
            </w:pPr>
            <w:r w:rsidRPr="009D1CB6">
              <w:rPr>
                <w:rFonts w:ascii="Sylfaen" w:hAnsi="Sylfaen"/>
                <w:color w:val="000000"/>
                <w:sz w:val="22"/>
                <w:szCs w:val="22"/>
                <w:lang w:eastAsia="nl-NL"/>
              </w:rPr>
              <w:t>30</w:t>
            </w:r>
          </w:p>
        </w:tc>
        <w:tc>
          <w:tcPr>
            <w:tcW w:w="4961" w:type="dxa"/>
          </w:tcPr>
          <w:p w14:paraId="02BA3CCE" w14:textId="61AC8A45"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 xml:space="preserve">Foundations of public health and research: </w:t>
            </w:r>
            <w:r w:rsidR="004A5697">
              <w:rPr>
                <w:rFonts w:ascii="Sylfaen" w:hAnsi="Sylfaen"/>
                <w:color w:val="000000"/>
                <w:sz w:val="22"/>
                <w:szCs w:val="22"/>
                <w:lang w:eastAsia="nl-NL"/>
              </w:rPr>
              <w:t xml:space="preserve">problem solving paradigm, </w:t>
            </w:r>
            <w:r w:rsidRPr="009D1CB6">
              <w:rPr>
                <w:rFonts w:ascii="Sylfaen" w:hAnsi="Sylfaen"/>
                <w:color w:val="000000"/>
                <w:sz w:val="22"/>
                <w:szCs w:val="22"/>
                <w:lang w:eastAsia="nl-NL"/>
              </w:rPr>
              <w:t>core epidemiology, biostatistics, qualitative and quantitative methods, social determinants, environmental health, and introductory planning and management.</w:t>
            </w:r>
          </w:p>
        </w:tc>
      </w:tr>
      <w:tr w:rsidR="009D1CB6" w:rsidRPr="00ED06FB" w14:paraId="7F893BDB" w14:textId="77777777" w:rsidTr="008C613C">
        <w:tc>
          <w:tcPr>
            <w:tcW w:w="1724" w:type="dxa"/>
          </w:tcPr>
          <w:p w14:paraId="58E44BD0"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Semester 2 (Spring – Y1)</w:t>
            </w:r>
          </w:p>
        </w:tc>
        <w:tc>
          <w:tcPr>
            <w:tcW w:w="1560" w:type="dxa"/>
          </w:tcPr>
          <w:p w14:paraId="493D4B25"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February – mid-June</w:t>
            </w:r>
          </w:p>
        </w:tc>
        <w:tc>
          <w:tcPr>
            <w:tcW w:w="992" w:type="dxa"/>
          </w:tcPr>
          <w:p w14:paraId="4F78A973" w14:textId="77777777" w:rsidR="009D1CB6" w:rsidRPr="009D1CB6" w:rsidRDefault="009D1CB6" w:rsidP="009D1CB6">
            <w:pPr>
              <w:contextualSpacing/>
              <w:jc w:val="both"/>
              <w:rPr>
                <w:rFonts w:ascii="Sylfaen" w:hAnsi="Sylfaen"/>
                <w:color w:val="000000"/>
                <w:sz w:val="22"/>
                <w:szCs w:val="22"/>
                <w:lang w:eastAsia="nl-NL"/>
              </w:rPr>
            </w:pPr>
            <w:r w:rsidRPr="009D1CB6">
              <w:rPr>
                <w:rFonts w:ascii="Sylfaen" w:hAnsi="Sylfaen"/>
                <w:color w:val="000000"/>
                <w:sz w:val="22"/>
                <w:szCs w:val="22"/>
                <w:lang w:eastAsia="nl-NL"/>
              </w:rPr>
              <w:t>30</w:t>
            </w:r>
          </w:p>
        </w:tc>
        <w:tc>
          <w:tcPr>
            <w:tcW w:w="4961" w:type="dxa"/>
          </w:tcPr>
          <w:p w14:paraId="630986E7"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Applied public health management: advanced analytical methods, health program planning and evaluation, health economics, ethics, leadership, hospital administration, quality management, and policy.</w:t>
            </w:r>
          </w:p>
        </w:tc>
      </w:tr>
      <w:tr w:rsidR="009D1CB6" w:rsidRPr="00ED06FB" w14:paraId="040DCB4A" w14:textId="77777777" w:rsidTr="008C613C">
        <w:tc>
          <w:tcPr>
            <w:tcW w:w="1724" w:type="dxa"/>
          </w:tcPr>
          <w:p w14:paraId="4ECA4EFF"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Semester 3 (Fall – Y2)</w:t>
            </w:r>
          </w:p>
        </w:tc>
        <w:tc>
          <w:tcPr>
            <w:tcW w:w="1560" w:type="dxa"/>
          </w:tcPr>
          <w:p w14:paraId="42457204"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September – February</w:t>
            </w:r>
          </w:p>
        </w:tc>
        <w:tc>
          <w:tcPr>
            <w:tcW w:w="992" w:type="dxa"/>
          </w:tcPr>
          <w:p w14:paraId="7D33D413" w14:textId="77777777" w:rsidR="009D1CB6" w:rsidRPr="009D1CB6" w:rsidRDefault="009D1CB6" w:rsidP="009D1CB6">
            <w:pPr>
              <w:contextualSpacing/>
              <w:jc w:val="both"/>
              <w:rPr>
                <w:rFonts w:ascii="Sylfaen" w:hAnsi="Sylfaen"/>
                <w:color w:val="000000"/>
                <w:sz w:val="22"/>
                <w:szCs w:val="22"/>
                <w:lang w:eastAsia="nl-NL"/>
              </w:rPr>
            </w:pPr>
            <w:r w:rsidRPr="009D1CB6">
              <w:rPr>
                <w:rFonts w:ascii="Sylfaen" w:hAnsi="Sylfaen"/>
                <w:color w:val="000000"/>
                <w:sz w:val="22"/>
                <w:szCs w:val="22"/>
                <w:lang w:eastAsia="nl-NL"/>
              </w:rPr>
              <w:t>30</w:t>
            </w:r>
          </w:p>
        </w:tc>
        <w:tc>
          <w:tcPr>
            <w:tcW w:w="4961" w:type="dxa"/>
          </w:tcPr>
          <w:p w14:paraId="485BC7D3" w14:textId="77777777" w:rsidR="009D1CB6" w:rsidRPr="009D1CB6" w:rsidRDefault="009D1CB6" w:rsidP="009D1CB6">
            <w:pPr>
              <w:contextualSpacing/>
              <w:rPr>
                <w:rFonts w:ascii="Sylfaen" w:hAnsi="Sylfaen"/>
                <w:color w:val="000000"/>
                <w:sz w:val="22"/>
                <w:szCs w:val="22"/>
                <w:lang w:eastAsia="nl-NL"/>
              </w:rPr>
            </w:pPr>
            <w:r w:rsidRPr="009D1CB6">
              <w:rPr>
                <w:rFonts w:ascii="Sylfaen" w:hAnsi="Sylfaen"/>
                <w:color w:val="000000"/>
                <w:sz w:val="22"/>
                <w:szCs w:val="22"/>
                <w:lang w:eastAsia="nl-NL"/>
              </w:rPr>
              <w:t>Integration and specialization: comparative analysis of healthcare systems, health education, digital health, marketing, elective focus area, research seminar, elective course, capstone integrating experience (written thesis, CB-exam, oral defence) and official diploma issuance.</w:t>
            </w:r>
          </w:p>
        </w:tc>
      </w:tr>
    </w:tbl>
    <w:p w14:paraId="203C7CFF" w14:textId="77777777" w:rsidR="009D1CB6" w:rsidRPr="009D1CB6" w:rsidRDefault="009D1CB6" w:rsidP="009D1CB6">
      <w:pPr>
        <w:ind w:left="-28" w:firstLine="28"/>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t>Total: 90 ECTS credits</w:t>
      </w:r>
    </w:p>
    <w:p w14:paraId="4B94156F" w14:textId="77777777" w:rsidR="009D1CB6" w:rsidRPr="009D1CB6" w:rsidRDefault="009D1CB6" w:rsidP="009E58AA">
      <w:pPr>
        <w:contextualSpacing/>
        <w:jc w:val="both"/>
        <w:rPr>
          <w:rFonts w:ascii="Sylfaen" w:eastAsia="Calibri" w:hAnsi="Sylfaen" w:cs="Times New Roman"/>
          <w:color w:val="000000"/>
          <w:lang w:val="en-GB" w:eastAsia="nl-NL"/>
        </w:rPr>
      </w:pPr>
      <w:r w:rsidRPr="009D1CB6">
        <w:rPr>
          <w:rFonts w:ascii="Sylfaen" w:eastAsia="Calibri" w:hAnsi="Sylfaen" w:cs="Times New Roman"/>
          <w:color w:val="000000"/>
          <w:lang w:val="en-GB" w:eastAsia="nl-NL"/>
        </w:rPr>
        <w:lastRenderedPageBreak/>
        <w:t>Individual supervision of the Master’s thesis is a core component of the research training within the MPH programme. While it comprises approximately 30 hours during each of Semesters 2 and 3, these supervisory interactions are not assigned separate ECTS credits but are instead embedded within the self-directed learning hours of the concurrently running modules. This approach maintains coherence with the overall workload allocation while supporting the longitudinal development of students' research projects.</w:t>
      </w:r>
    </w:p>
    <w:p w14:paraId="0D2355B6" w14:textId="0B071227" w:rsidR="001A3C5B" w:rsidRPr="00916805" w:rsidRDefault="009D1CB6" w:rsidP="009E58AA">
      <w:pPr>
        <w:spacing w:after="0"/>
        <w:jc w:val="both"/>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color w:val="000000"/>
          <w:lang w:val="en-GB" w:eastAsia="nl-NL"/>
        </w:rPr>
        <w:t>Supervisory time is distributed flexibly across the academic term and is tailored to each student's progress. It encompasses ongoing academic mentorship and methodological guidance, supporting students as they conceptualize, design, implement, and finalize their research. The supervisory process is structured around key research development milestones and includes regular feedback and consultation to enhance the academic quality of the thesis and ensure timely completion. It also plays a formative role in developing students' analytical, writing, and presentation skills, and prepares them for successful thesis defence.</w:t>
      </w:r>
    </w:p>
    <w:p w14:paraId="340235AA" w14:textId="2B44E75D" w:rsidR="003115F5" w:rsidRPr="00916805" w:rsidRDefault="003115F5" w:rsidP="00FF1C13">
      <w:pPr>
        <w:pStyle w:val="Heading2"/>
        <w:jc w:val="left"/>
        <w:rPr>
          <w:rFonts w:eastAsia="Calibri"/>
          <w:lang w:val="en-US" w:eastAsia="en-US"/>
        </w:rPr>
      </w:pPr>
      <w:bookmarkStart w:id="14" w:name="_Summary_of_Graduation"/>
      <w:bookmarkStart w:id="15" w:name="_Toc207988631"/>
      <w:bookmarkEnd w:id="14"/>
      <w:r w:rsidRPr="00916805">
        <w:rPr>
          <w:rFonts w:eastAsia="Calibri"/>
          <w:lang w:val="en-US" w:eastAsia="en-US"/>
        </w:rPr>
        <w:t>Summary of Graduation Requirements</w:t>
      </w:r>
      <w:bookmarkEnd w:id="15"/>
    </w:p>
    <w:p w14:paraId="758CDAF3" w14:textId="5921F57B" w:rsidR="00916805" w:rsidRPr="00916805" w:rsidRDefault="00916805" w:rsidP="009E58AA">
      <w:pPr>
        <w:pStyle w:val="NormalWeb"/>
        <w:spacing w:before="0" w:beforeAutospacing="0" w:after="0" w:afterAutospacing="0"/>
        <w:jc w:val="both"/>
        <w:rPr>
          <w:rFonts w:ascii="Sylfaen" w:eastAsia="Calibri" w:hAnsi="Sylfaen"/>
          <w:color w:val="000000"/>
          <w:sz w:val="22"/>
          <w:szCs w:val="22"/>
          <w:lang w:val="en-GB" w:eastAsia="nl-NL"/>
        </w:rPr>
      </w:pPr>
      <w:bookmarkStart w:id="16" w:name="_Academic_Standards"/>
      <w:bookmarkEnd w:id="16"/>
      <w:r w:rsidRPr="00916805">
        <w:rPr>
          <w:rFonts w:ascii="Sylfaen" w:eastAsia="Calibri" w:hAnsi="Sylfaen"/>
          <w:color w:val="000000"/>
          <w:sz w:val="22"/>
          <w:szCs w:val="22"/>
          <w:lang w:val="en-GB" w:eastAsia="nl-NL"/>
        </w:rPr>
        <w:t>To be eligible for graduation with a Master of Public Health (MPH) degree, students must successfully complete a total of 25 compulsory courses, one elective course, and a Capstone Integrating Experience. Together, these components are equivalent to 90 credit hours of academic work.</w:t>
      </w:r>
    </w:p>
    <w:p w14:paraId="37B8A09A" w14:textId="77777777" w:rsidR="00916805" w:rsidRPr="00916805" w:rsidRDefault="00916805" w:rsidP="009E58AA">
      <w:pPr>
        <w:pStyle w:val="NormalWeb"/>
        <w:spacing w:before="0" w:beforeAutospacing="0" w:after="0" w:afterAutospacing="0"/>
        <w:jc w:val="both"/>
        <w:rPr>
          <w:rFonts w:ascii="Sylfaen" w:eastAsia="Calibri" w:hAnsi="Sylfaen"/>
          <w:color w:val="000000"/>
          <w:sz w:val="22"/>
          <w:szCs w:val="22"/>
          <w:lang w:val="en-GB" w:eastAsia="nl-NL"/>
        </w:rPr>
      </w:pPr>
      <w:r w:rsidRPr="00916805">
        <w:rPr>
          <w:rFonts w:ascii="Sylfaen" w:eastAsia="Calibri" w:hAnsi="Sylfaen"/>
          <w:color w:val="000000"/>
          <w:sz w:val="22"/>
          <w:szCs w:val="22"/>
          <w:lang w:val="en-GB" w:eastAsia="nl-NL"/>
        </w:rPr>
        <w:t>In order to qualify as an MPH degree candidate, students must maintain a minimum cumulative Grade Point Average (GPA) of 5.0 on a 10-point scale throughout the program.</w:t>
      </w:r>
    </w:p>
    <w:p w14:paraId="40F60565" w14:textId="77777777" w:rsidR="00916805" w:rsidRPr="00916805" w:rsidRDefault="00916805" w:rsidP="009E58AA">
      <w:pPr>
        <w:pStyle w:val="NormalWeb"/>
        <w:spacing w:before="0" w:beforeAutospacing="0" w:after="0" w:afterAutospacing="0"/>
        <w:jc w:val="both"/>
        <w:rPr>
          <w:rFonts w:ascii="Sylfaen" w:eastAsia="Calibri" w:hAnsi="Sylfaen"/>
          <w:color w:val="000000"/>
          <w:sz w:val="22"/>
          <w:szCs w:val="22"/>
          <w:lang w:val="en-GB" w:eastAsia="nl-NL"/>
        </w:rPr>
      </w:pPr>
      <w:r w:rsidRPr="00916805">
        <w:rPr>
          <w:rFonts w:ascii="Sylfaen" w:eastAsia="Calibri" w:hAnsi="Sylfaen"/>
          <w:color w:val="000000"/>
          <w:sz w:val="22"/>
          <w:szCs w:val="22"/>
          <w:lang w:val="en-GB" w:eastAsia="nl-NL"/>
        </w:rPr>
        <w:t>Additionally, students are required to fulfill a minimum of 18 months of full-time residency, during which they must be physically present and actively participating in coursework and academic activities. This residency ensures adequate engagement with faculty, peers, and the broader academic environment, which is considered essential for professional and scholarly development in the field of public health.</w:t>
      </w:r>
    </w:p>
    <w:p w14:paraId="4B4BDEE7" w14:textId="77777777" w:rsidR="00CB1051" w:rsidRPr="00916805" w:rsidRDefault="00CB1051" w:rsidP="00FF1C13">
      <w:pPr>
        <w:pStyle w:val="Heading2"/>
        <w:jc w:val="left"/>
        <w:rPr>
          <w:rFonts w:eastAsia="Calibri"/>
          <w:lang w:val="en-US" w:eastAsia="en-US"/>
        </w:rPr>
      </w:pPr>
      <w:bookmarkStart w:id="17" w:name="_Toc207988632"/>
      <w:r w:rsidRPr="00916805">
        <w:rPr>
          <w:rFonts w:eastAsia="Calibri"/>
          <w:lang w:val="en-US" w:eastAsia="en-US"/>
        </w:rPr>
        <w:t>Academic Standards</w:t>
      </w:r>
      <w:bookmarkEnd w:id="17"/>
    </w:p>
    <w:p w14:paraId="4D74CB86" w14:textId="38D12FA2" w:rsidR="00CB1051" w:rsidRPr="00916805" w:rsidRDefault="00CB1051" w:rsidP="001C1482">
      <w:pPr>
        <w:spacing w:after="0"/>
        <w:rPr>
          <w:rFonts w:ascii="Sylfaen" w:eastAsia="Calibri" w:hAnsi="Sylfaen" w:cs="Times New Roman"/>
          <w:kern w:val="2"/>
          <w:lang w:val="en-US" w:eastAsia="en-US"/>
        </w:rPr>
      </w:pPr>
      <w:r w:rsidRPr="00916805">
        <w:rPr>
          <w:rFonts w:ascii="Sylfaen" w:eastAsia="Calibri" w:hAnsi="Sylfaen" w:cs="Times New Roman"/>
          <w:kern w:val="2"/>
          <w:lang w:val="en-US" w:eastAsia="en-US"/>
        </w:rPr>
        <w:t>Students must meet minimum academic standards to remain in the MPH Program. A student’s failure to meet any of the criteria below is grounds for being placed on academic warning and/or being dismissed from the program.</w:t>
      </w:r>
    </w:p>
    <w:p w14:paraId="570F87C1" w14:textId="7140655F" w:rsidR="00207F46" w:rsidRPr="00207F46" w:rsidRDefault="00207F46" w:rsidP="00207F46">
      <w:pPr>
        <w:pStyle w:val="NormalWeb"/>
        <w:numPr>
          <w:ilvl w:val="0"/>
          <w:numId w:val="30"/>
        </w:numPr>
        <w:spacing w:before="0" w:beforeAutospacing="0" w:after="0" w:afterAutospacing="0" w:line="276" w:lineRule="auto"/>
        <w:ind w:left="284" w:hanging="284"/>
        <w:rPr>
          <w:rFonts w:ascii="Sylfaen" w:eastAsia="Calibri" w:hAnsi="Sylfaen"/>
          <w:kern w:val="2"/>
          <w:sz w:val="22"/>
          <w:szCs w:val="22"/>
          <w:lang w:val="en-US" w:eastAsia="en-US"/>
        </w:rPr>
      </w:pPr>
      <w:r w:rsidRPr="00207F46">
        <w:rPr>
          <w:rFonts w:ascii="Sylfaen" w:eastAsia="Calibri" w:hAnsi="Sylfaen"/>
          <w:b/>
          <w:bCs/>
          <w:kern w:val="2"/>
          <w:sz w:val="22"/>
          <w:szCs w:val="22"/>
          <w:lang w:val="en-US" w:eastAsia="en-US"/>
        </w:rPr>
        <w:t>Grade Point and Passing Standards</w:t>
      </w:r>
    </w:p>
    <w:p w14:paraId="09D7DC45" w14:textId="77777777" w:rsidR="00207F46" w:rsidRPr="00207F46" w:rsidRDefault="00207F46" w:rsidP="00207F46">
      <w:pPr>
        <w:pStyle w:val="NormalWeb"/>
        <w:numPr>
          <w:ilvl w:val="0"/>
          <w:numId w:val="23"/>
        </w:numPr>
        <w:spacing w:before="0" w:beforeAutospacing="0" w:after="0" w:afterAutospacing="0" w:line="276" w:lineRule="auto"/>
        <w:rPr>
          <w:rFonts w:ascii="Sylfaen" w:eastAsia="Calibri" w:hAnsi="Sylfaen"/>
          <w:color w:val="000000"/>
          <w:sz w:val="22"/>
          <w:szCs w:val="22"/>
          <w:lang w:val="en-GB" w:eastAsia="nl-NL"/>
        </w:rPr>
      </w:pPr>
      <w:r w:rsidRPr="00207F46">
        <w:rPr>
          <w:rFonts w:ascii="Sylfaen" w:eastAsia="Calibri" w:hAnsi="Sylfaen"/>
          <w:color w:val="000000"/>
          <w:sz w:val="22"/>
          <w:szCs w:val="22"/>
          <w:lang w:val="en-GB" w:eastAsia="nl-NL"/>
        </w:rPr>
        <w:t>Students must obtain a minimum passing grade of 5 out of 10 in all modules, examinations, and the Master’s Thesis.</w:t>
      </w:r>
    </w:p>
    <w:p w14:paraId="755AA4E1" w14:textId="77777777" w:rsidR="00B6446B" w:rsidRDefault="00B6446B" w:rsidP="00207F46">
      <w:pPr>
        <w:pStyle w:val="NormalWeb"/>
        <w:numPr>
          <w:ilvl w:val="0"/>
          <w:numId w:val="23"/>
        </w:numPr>
        <w:spacing w:before="0" w:beforeAutospacing="0" w:after="0" w:afterAutospacing="0" w:line="276" w:lineRule="auto"/>
        <w:rPr>
          <w:rFonts w:ascii="Sylfaen" w:eastAsia="Calibri" w:hAnsi="Sylfaen"/>
          <w:color w:val="000000"/>
          <w:sz w:val="22"/>
          <w:szCs w:val="22"/>
          <w:lang w:val="en-GB" w:eastAsia="nl-NL"/>
        </w:rPr>
      </w:pPr>
      <w:r w:rsidRPr="00B6446B">
        <w:rPr>
          <w:rFonts w:ascii="Sylfaen" w:eastAsia="Calibri" w:hAnsi="Sylfaen"/>
          <w:color w:val="000000"/>
          <w:sz w:val="22"/>
          <w:szCs w:val="22"/>
          <w:lang w:val="en-GB" w:eastAsia="nl-NL"/>
        </w:rPr>
        <w:t>If a student fails to achieve the minimum passing grade in any module, they are permitted to retake the assessment up to two additional times during the designated re-examination sessions.</w:t>
      </w:r>
    </w:p>
    <w:p w14:paraId="1B2035F2" w14:textId="597EED18" w:rsidR="00207F46" w:rsidRPr="00207F46" w:rsidRDefault="00207F46" w:rsidP="00207F46">
      <w:pPr>
        <w:pStyle w:val="NormalWeb"/>
        <w:numPr>
          <w:ilvl w:val="0"/>
          <w:numId w:val="23"/>
        </w:numPr>
        <w:spacing w:before="0" w:beforeAutospacing="0" w:after="0" w:afterAutospacing="0" w:line="276" w:lineRule="auto"/>
        <w:rPr>
          <w:rFonts w:ascii="Sylfaen" w:eastAsia="Calibri" w:hAnsi="Sylfaen"/>
          <w:color w:val="000000"/>
          <w:sz w:val="22"/>
          <w:szCs w:val="22"/>
          <w:lang w:val="en-GB" w:eastAsia="nl-NL"/>
        </w:rPr>
      </w:pPr>
      <w:r w:rsidRPr="00207F46">
        <w:rPr>
          <w:rFonts w:ascii="Sylfaen" w:eastAsia="Calibri" w:hAnsi="Sylfaen"/>
          <w:color w:val="000000"/>
          <w:sz w:val="22"/>
          <w:szCs w:val="22"/>
          <w:lang w:val="en-GB" w:eastAsia="nl-NL"/>
        </w:rPr>
        <w:t xml:space="preserve">Repeated failures in the same module after the permitted re-sit opportunities </w:t>
      </w:r>
      <w:bookmarkStart w:id="18" w:name="_Hlk207900404"/>
      <w:r w:rsidRPr="00207F46">
        <w:rPr>
          <w:rFonts w:ascii="Sylfaen" w:eastAsia="Calibri" w:hAnsi="Sylfaen"/>
          <w:color w:val="000000"/>
          <w:sz w:val="22"/>
          <w:szCs w:val="22"/>
          <w:lang w:val="en-GB" w:eastAsia="nl-NL"/>
        </w:rPr>
        <w:t>result in dismissal from the program.</w:t>
      </w:r>
    </w:p>
    <w:bookmarkEnd w:id="18"/>
    <w:p w14:paraId="3DC23EFC" w14:textId="09950E3D" w:rsidR="00207F46" w:rsidRPr="00207F46" w:rsidRDefault="00207F46" w:rsidP="00207F46">
      <w:pPr>
        <w:pStyle w:val="NormalWeb"/>
        <w:numPr>
          <w:ilvl w:val="0"/>
          <w:numId w:val="24"/>
        </w:numPr>
        <w:tabs>
          <w:tab w:val="clear" w:pos="720"/>
          <w:tab w:val="num" w:pos="284"/>
        </w:tabs>
        <w:spacing w:before="0" w:beforeAutospacing="0" w:after="0" w:afterAutospacing="0" w:line="276" w:lineRule="auto"/>
        <w:ind w:left="284" w:hanging="284"/>
        <w:rPr>
          <w:rFonts w:ascii="Sylfaen" w:eastAsia="Calibri" w:hAnsi="Sylfaen"/>
          <w:b/>
          <w:bCs/>
          <w:kern w:val="2"/>
          <w:sz w:val="22"/>
          <w:szCs w:val="22"/>
          <w:lang w:val="en-US" w:eastAsia="en-US"/>
        </w:rPr>
      </w:pPr>
      <w:r w:rsidRPr="00207F46">
        <w:rPr>
          <w:rFonts w:ascii="Sylfaen" w:eastAsia="Calibri" w:hAnsi="Sylfaen"/>
          <w:b/>
          <w:bCs/>
          <w:kern w:val="2"/>
          <w:sz w:val="22"/>
          <w:szCs w:val="22"/>
          <w:lang w:val="en-US" w:eastAsia="en-US"/>
        </w:rPr>
        <w:t>Assessment Completion</w:t>
      </w:r>
    </w:p>
    <w:p w14:paraId="5FF71A9E" w14:textId="77777777" w:rsidR="00207F46" w:rsidRPr="00207F46" w:rsidRDefault="00207F46" w:rsidP="00207F46">
      <w:pPr>
        <w:pStyle w:val="NormalWeb"/>
        <w:numPr>
          <w:ilvl w:val="0"/>
          <w:numId w:val="24"/>
        </w:numPr>
        <w:spacing w:before="0" w:beforeAutospacing="0" w:after="0" w:afterAutospacing="0" w:line="276" w:lineRule="auto"/>
        <w:rPr>
          <w:rFonts w:ascii="Sylfaen" w:eastAsia="Calibri" w:hAnsi="Sylfaen"/>
          <w:color w:val="000000"/>
          <w:sz w:val="22"/>
          <w:szCs w:val="22"/>
          <w:lang w:val="en-GB" w:eastAsia="nl-NL"/>
        </w:rPr>
      </w:pPr>
      <w:r w:rsidRPr="00207F46">
        <w:rPr>
          <w:rFonts w:ascii="Sylfaen" w:eastAsia="Calibri" w:hAnsi="Sylfaen"/>
          <w:color w:val="000000"/>
          <w:sz w:val="22"/>
          <w:szCs w:val="22"/>
          <w:lang w:val="en-GB" w:eastAsia="nl-NL"/>
        </w:rPr>
        <w:t>All required assessments (oral presentations, written assignments, paper-based tests, and computer-based tasks) must be completed in accordance with the academic calendar.</w:t>
      </w:r>
    </w:p>
    <w:p w14:paraId="25C50DC5" w14:textId="3E83DF6B" w:rsidR="00207F46" w:rsidRPr="000302B7" w:rsidRDefault="00207F46" w:rsidP="000302B7">
      <w:pPr>
        <w:pStyle w:val="NormalWeb"/>
        <w:numPr>
          <w:ilvl w:val="0"/>
          <w:numId w:val="23"/>
        </w:numPr>
        <w:spacing w:before="0" w:beforeAutospacing="0" w:after="0" w:afterAutospacing="0" w:line="276" w:lineRule="auto"/>
        <w:rPr>
          <w:rFonts w:ascii="Sylfaen" w:eastAsia="Calibri" w:hAnsi="Sylfaen"/>
          <w:color w:val="000000"/>
          <w:sz w:val="22"/>
          <w:szCs w:val="22"/>
          <w:lang w:val="en-GB" w:eastAsia="nl-NL"/>
        </w:rPr>
      </w:pPr>
      <w:r w:rsidRPr="00207F46">
        <w:rPr>
          <w:rFonts w:ascii="Sylfaen" w:eastAsia="Calibri" w:hAnsi="Sylfaen"/>
          <w:color w:val="000000"/>
          <w:sz w:val="22"/>
          <w:szCs w:val="22"/>
          <w:lang w:val="en-GB" w:eastAsia="nl-NL"/>
        </w:rPr>
        <w:t xml:space="preserve">Failure to complete required assessments by the specified deadlines </w:t>
      </w:r>
      <w:r w:rsidR="000302B7" w:rsidRPr="00207F46">
        <w:rPr>
          <w:rFonts w:ascii="Sylfaen" w:eastAsia="Calibri" w:hAnsi="Sylfaen"/>
          <w:color w:val="000000"/>
          <w:sz w:val="22"/>
          <w:szCs w:val="22"/>
          <w:lang w:val="en-GB" w:eastAsia="nl-NL"/>
        </w:rPr>
        <w:t>result</w:t>
      </w:r>
      <w:r w:rsidR="000302B7">
        <w:rPr>
          <w:rFonts w:ascii="Sylfaen" w:eastAsia="Calibri" w:hAnsi="Sylfaen"/>
          <w:color w:val="000000"/>
          <w:sz w:val="22"/>
          <w:szCs w:val="22"/>
          <w:lang w:val="en-GB" w:eastAsia="nl-NL"/>
        </w:rPr>
        <w:t>s</w:t>
      </w:r>
      <w:r w:rsidR="000302B7" w:rsidRPr="00207F46">
        <w:rPr>
          <w:rFonts w:ascii="Sylfaen" w:eastAsia="Calibri" w:hAnsi="Sylfaen"/>
          <w:color w:val="000000"/>
          <w:sz w:val="22"/>
          <w:szCs w:val="22"/>
          <w:lang w:val="en-GB" w:eastAsia="nl-NL"/>
        </w:rPr>
        <w:t xml:space="preserve"> in dismissal from the program.</w:t>
      </w:r>
    </w:p>
    <w:p w14:paraId="2D8E5D3C" w14:textId="6C78D186" w:rsidR="008124C7" w:rsidRPr="008124C7" w:rsidRDefault="00207F46" w:rsidP="008124C7">
      <w:pPr>
        <w:pStyle w:val="NormalWeb"/>
        <w:numPr>
          <w:ilvl w:val="0"/>
          <w:numId w:val="25"/>
        </w:numPr>
        <w:tabs>
          <w:tab w:val="clear" w:pos="720"/>
          <w:tab w:val="num" w:pos="284"/>
        </w:tabs>
        <w:spacing w:before="0" w:beforeAutospacing="0" w:after="0" w:afterAutospacing="0" w:line="276" w:lineRule="auto"/>
        <w:ind w:hanging="720"/>
        <w:rPr>
          <w:rFonts w:ascii="Sylfaen" w:hAnsi="Sylfaen"/>
          <w:sz w:val="22"/>
          <w:szCs w:val="22"/>
        </w:rPr>
      </w:pPr>
      <w:r w:rsidRPr="00207F46">
        <w:rPr>
          <w:rStyle w:val="Strong"/>
          <w:rFonts w:ascii="Sylfaen" w:hAnsi="Sylfaen"/>
          <w:sz w:val="22"/>
          <w:szCs w:val="22"/>
        </w:rPr>
        <w:t>Integrating Experience Requirements</w:t>
      </w:r>
    </w:p>
    <w:p w14:paraId="0D0FCB83" w14:textId="1F9A8A7F" w:rsidR="00F37C12" w:rsidRPr="00F37C12" w:rsidRDefault="00F37C12" w:rsidP="00F37C12">
      <w:pPr>
        <w:pStyle w:val="NormalWeb"/>
        <w:numPr>
          <w:ilvl w:val="0"/>
          <w:numId w:val="25"/>
        </w:numPr>
        <w:spacing w:after="0"/>
        <w:rPr>
          <w:rFonts w:ascii="Sylfaen" w:hAnsi="Sylfaen"/>
          <w:sz w:val="22"/>
          <w:szCs w:val="22"/>
          <w:lang w:val="en-US"/>
        </w:rPr>
      </w:pPr>
      <w:r w:rsidRPr="00F37C12">
        <w:rPr>
          <w:rFonts w:ascii="Sylfaen" w:hAnsi="Sylfaen"/>
          <w:sz w:val="22"/>
          <w:szCs w:val="22"/>
          <w:lang w:val="en-US"/>
        </w:rPr>
        <w:t>Interim deliverables (</w:t>
      </w:r>
      <w:r w:rsidR="00A639FA">
        <w:rPr>
          <w:rFonts w:ascii="Sylfaen" w:hAnsi="Sylfaen"/>
          <w:sz w:val="22"/>
          <w:szCs w:val="22"/>
          <w:lang w:val="en-US"/>
        </w:rPr>
        <w:t xml:space="preserve">formal </w:t>
      </w:r>
      <w:r w:rsidR="00A639FA" w:rsidRPr="00A639FA">
        <w:rPr>
          <w:rFonts w:ascii="Sylfaen" w:hAnsi="Sylfaen"/>
          <w:sz w:val="22"/>
          <w:szCs w:val="22"/>
          <w:lang w:val="en-US"/>
        </w:rPr>
        <w:t>approval of the Master’s thesis topic by the YSMU Scientific Council of the Faculty of Public Health</w:t>
      </w:r>
      <w:r w:rsidR="00A639FA">
        <w:rPr>
          <w:rFonts w:ascii="Sylfaen" w:hAnsi="Sylfaen"/>
          <w:sz w:val="22"/>
          <w:szCs w:val="22"/>
          <w:lang w:val="en-US"/>
        </w:rPr>
        <w:t xml:space="preserve">, </w:t>
      </w:r>
      <w:r w:rsidR="008124C7" w:rsidRPr="008124C7">
        <w:rPr>
          <w:rFonts w:ascii="Sylfaen" w:hAnsi="Sylfaen"/>
          <w:sz w:val="22"/>
          <w:szCs w:val="22"/>
          <w:lang w:val="en-US"/>
        </w:rPr>
        <w:t xml:space="preserve">formal approval from the YSMU Ethics Committee, submission of the </w:t>
      </w:r>
      <w:r w:rsidR="008124C7" w:rsidRPr="008124C7">
        <w:rPr>
          <w:rFonts w:ascii="Sylfaen" w:hAnsi="Sylfaen"/>
          <w:sz w:val="22"/>
          <w:szCs w:val="22"/>
          <w:lang w:val="en-US"/>
        </w:rPr>
        <w:lastRenderedPageBreak/>
        <w:t>literature review, methodology chapter, and the pre-submission progress repor</w:t>
      </w:r>
      <w:r w:rsidR="008124C7">
        <w:rPr>
          <w:rFonts w:ascii="Sylfaen" w:hAnsi="Sylfaen"/>
          <w:sz w:val="22"/>
          <w:szCs w:val="22"/>
          <w:lang w:val="en-US"/>
        </w:rPr>
        <w:t>t</w:t>
      </w:r>
      <w:r w:rsidRPr="00F37C12">
        <w:rPr>
          <w:rFonts w:ascii="Sylfaen" w:hAnsi="Sylfaen"/>
          <w:sz w:val="22"/>
          <w:szCs w:val="22"/>
          <w:lang w:val="en-US"/>
        </w:rPr>
        <w:t>) must be completed according to the official academic calendar.</w:t>
      </w:r>
    </w:p>
    <w:p w14:paraId="4C21EC51" w14:textId="31FF0D66" w:rsidR="00F37C12" w:rsidRDefault="00F37C12" w:rsidP="00F37C12">
      <w:pPr>
        <w:pStyle w:val="NormalWeb"/>
        <w:numPr>
          <w:ilvl w:val="0"/>
          <w:numId w:val="25"/>
        </w:numPr>
        <w:spacing w:before="0" w:beforeAutospacing="0" w:after="0" w:afterAutospacing="0" w:line="276" w:lineRule="auto"/>
        <w:rPr>
          <w:rFonts w:ascii="Sylfaen" w:hAnsi="Sylfaen"/>
          <w:sz w:val="22"/>
          <w:szCs w:val="22"/>
          <w:lang w:val="en-US"/>
        </w:rPr>
      </w:pPr>
      <w:r w:rsidRPr="00F37C12">
        <w:rPr>
          <w:rFonts w:ascii="Sylfaen" w:hAnsi="Sylfaen"/>
          <w:sz w:val="22"/>
          <w:szCs w:val="22"/>
          <w:lang w:val="en-US"/>
        </w:rPr>
        <w:t>Failure to submit required components on time may result in delayed graduation.</w:t>
      </w:r>
    </w:p>
    <w:p w14:paraId="165E9CD0" w14:textId="76D83EDC" w:rsidR="00207F46" w:rsidRPr="00207F46" w:rsidRDefault="00207F46" w:rsidP="00207F46">
      <w:pPr>
        <w:pStyle w:val="NormalWeb"/>
        <w:numPr>
          <w:ilvl w:val="0"/>
          <w:numId w:val="25"/>
        </w:numPr>
        <w:spacing w:before="0" w:beforeAutospacing="0" w:after="0" w:afterAutospacing="0" w:line="276" w:lineRule="auto"/>
        <w:rPr>
          <w:rFonts w:ascii="Sylfaen" w:hAnsi="Sylfaen"/>
          <w:sz w:val="22"/>
          <w:szCs w:val="22"/>
          <w:lang w:val="en-US"/>
        </w:rPr>
      </w:pPr>
      <w:r w:rsidRPr="00207F46">
        <w:rPr>
          <w:rFonts w:ascii="Sylfaen" w:hAnsi="Sylfaen"/>
          <w:sz w:val="22"/>
          <w:szCs w:val="22"/>
          <w:lang w:val="en-US"/>
        </w:rPr>
        <w:t>Successful completion of all three components of the Integrating Experience is mandatory:</w:t>
      </w:r>
      <w:r w:rsidRPr="00207F46">
        <w:rPr>
          <w:rFonts w:ascii="Sylfaen" w:hAnsi="Sylfaen"/>
          <w:sz w:val="22"/>
          <w:szCs w:val="22"/>
          <w:lang w:val="en-US"/>
        </w:rPr>
        <w:br/>
        <w:t>a. Written Master’s Thesis (minimum 5/10)</w:t>
      </w:r>
      <w:r w:rsidRPr="00207F46">
        <w:rPr>
          <w:rFonts w:ascii="Sylfaen" w:hAnsi="Sylfaen"/>
          <w:sz w:val="22"/>
          <w:szCs w:val="22"/>
          <w:lang w:val="en-US"/>
        </w:rPr>
        <w:br/>
        <w:t>b. Interdisciplinary Computer-Based Examination (minimum 50%</w:t>
      </w:r>
      <w:r w:rsidR="00A639FA">
        <w:rPr>
          <w:rFonts w:ascii="Sylfaen" w:hAnsi="Sylfaen"/>
          <w:sz w:val="22"/>
          <w:szCs w:val="22"/>
          <w:lang w:val="en-US"/>
        </w:rPr>
        <w:t>+1</w:t>
      </w:r>
      <w:r w:rsidRPr="00207F46">
        <w:rPr>
          <w:rFonts w:ascii="Sylfaen" w:hAnsi="Sylfaen"/>
          <w:sz w:val="22"/>
          <w:szCs w:val="22"/>
          <w:lang w:val="en-US"/>
        </w:rPr>
        <w:t xml:space="preserve"> correct response)</w:t>
      </w:r>
      <w:r w:rsidRPr="00207F46">
        <w:rPr>
          <w:rFonts w:ascii="Sylfaen" w:hAnsi="Sylfaen"/>
          <w:sz w:val="22"/>
          <w:szCs w:val="22"/>
          <w:lang w:val="en-US"/>
        </w:rPr>
        <w:br/>
        <w:t>c. Oral Defense of the Thesis (minimum 5/10)</w:t>
      </w:r>
    </w:p>
    <w:p w14:paraId="70B6C4E5" w14:textId="641EEBC7" w:rsidR="00207F46" w:rsidRDefault="00207F46" w:rsidP="00207F46">
      <w:pPr>
        <w:pStyle w:val="NormalWeb"/>
        <w:numPr>
          <w:ilvl w:val="0"/>
          <w:numId w:val="25"/>
        </w:numPr>
        <w:spacing w:before="0" w:beforeAutospacing="0" w:after="0" w:afterAutospacing="0" w:line="276" w:lineRule="auto"/>
        <w:rPr>
          <w:rFonts w:ascii="Sylfaen" w:hAnsi="Sylfaen"/>
          <w:sz w:val="22"/>
          <w:szCs w:val="22"/>
          <w:lang w:val="en-US"/>
        </w:rPr>
      </w:pPr>
      <w:r w:rsidRPr="00207F46">
        <w:rPr>
          <w:rFonts w:ascii="Sylfaen" w:hAnsi="Sylfaen"/>
          <w:sz w:val="22"/>
          <w:szCs w:val="22"/>
          <w:lang w:val="en-US"/>
        </w:rPr>
        <w:t xml:space="preserve">Failure in any component will result </w:t>
      </w:r>
      <w:bookmarkStart w:id="19" w:name="_Hlk207900848"/>
      <w:r w:rsidRPr="00207F46">
        <w:rPr>
          <w:rFonts w:ascii="Sylfaen" w:hAnsi="Sylfaen"/>
          <w:sz w:val="22"/>
          <w:szCs w:val="22"/>
          <w:lang w:val="en-US"/>
        </w:rPr>
        <w:t>in dismissal from the program</w:t>
      </w:r>
      <w:bookmarkEnd w:id="19"/>
      <w:r w:rsidRPr="00207F46">
        <w:rPr>
          <w:rFonts w:ascii="Sylfaen" w:hAnsi="Sylfaen"/>
          <w:sz w:val="22"/>
          <w:szCs w:val="22"/>
          <w:lang w:val="en-US"/>
        </w:rPr>
        <w:t>.</w:t>
      </w:r>
    </w:p>
    <w:p w14:paraId="4CB1D79A" w14:textId="100025CC" w:rsidR="00207F46" w:rsidRPr="00207F46" w:rsidRDefault="00207F46" w:rsidP="00207F46">
      <w:pPr>
        <w:pStyle w:val="NormalWeb"/>
        <w:numPr>
          <w:ilvl w:val="0"/>
          <w:numId w:val="25"/>
        </w:numPr>
        <w:tabs>
          <w:tab w:val="clear" w:pos="720"/>
        </w:tabs>
        <w:spacing w:before="0" w:beforeAutospacing="0" w:after="0" w:afterAutospacing="0" w:line="276" w:lineRule="auto"/>
        <w:ind w:left="284" w:hanging="284"/>
        <w:rPr>
          <w:rFonts w:ascii="Sylfaen" w:hAnsi="Sylfaen"/>
          <w:sz w:val="22"/>
          <w:szCs w:val="22"/>
          <w:lang w:val="en-US"/>
        </w:rPr>
      </w:pPr>
      <w:r w:rsidRPr="00207F46">
        <w:rPr>
          <w:rStyle w:val="Strong"/>
          <w:rFonts w:ascii="Sylfaen" w:hAnsi="Sylfaen"/>
          <w:sz w:val="22"/>
          <w:szCs w:val="22"/>
        </w:rPr>
        <w:t>Attendance and Engagement</w:t>
      </w:r>
    </w:p>
    <w:p w14:paraId="5DA91AD7" w14:textId="33AEC617" w:rsidR="00207F46" w:rsidRPr="00207F46" w:rsidRDefault="00207F46" w:rsidP="00207F46">
      <w:pPr>
        <w:pStyle w:val="NormalWeb"/>
        <w:numPr>
          <w:ilvl w:val="0"/>
          <w:numId w:val="26"/>
        </w:numPr>
        <w:spacing w:before="0" w:beforeAutospacing="0" w:after="0" w:afterAutospacing="0" w:line="276" w:lineRule="auto"/>
        <w:rPr>
          <w:rFonts w:ascii="Sylfaen" w:hAnsi="Sylfaen"/>
          <w:sz w:val="22"/>
          <w:szCs w:val="22"/>
          <w:lang w:val="en-US"/>
        </w:rPr>
      </w:pPr>
      <w:r w:rsidRPr="00207F46">
        <w:rPr>
          <w:rFonts w:ascii="Sylfaen" w:hAnsi="Sylfaen"/>
          <w:sz w:val="22"/>
          <w:szCs w:val="22"/>
          <w:lang w:val="en-US"/>
        </w:rPr>
        <w:t>Students must attend scheduled classes, seminars</w:t>
      </w:r>
      <w:r w:rsidR="00FA35DE">
        <w:rPr>
          <w:rFonts w:ascii="Sylfaen" w:hAnsi="Sylfaen"/>
          <w:sz w:val="22"/>
          <w:szCs w:val="22"/>
          <w:lang w:val="en-US"/>
        </w:rPr>
        <w:t xml:space="preserve"> </w:t>
      </w:r>
      <w:r w:rsidRPr="00207F46">
        <w:rPr>
          <w:rFonts w:ascii="Sylfaen" w:hAnsi="Sylfaen"/>
          <w:sz w:val="22"/>
          <w:szCs w:val="22"/>
          <w:lang w:val="en-US"/>
        </w:rPr>
        <w:t>and defense sessions as outlined in the academic calendar.</w:t>
      </w:r>
    </w:p>
    <w:p w14:paraId="71F06613" w14:textId="504958A2" w:rsidR="00B6446B" w:rsidRDefault="00B6446B" w:rsidP="00207F46">
      <w:pPr>
        <w:pStyle w:val="NormalWeb"/>
        <w:numPr>
          <w:ilvl w:val="0"/>
          <w:numId w:val="26"/>
        </w:numPr>
        <w:spacing w:before="0" w:beforeAutospacing="0" w:after="0" w:afterAutospacing="0" w:line="276" w:lineRule="auto"/>
        <w:rPr>
          <w:rFonts w:ascii="Sylfaen" w:hAnsi="Sylfaen"/>
          <w:sz w:val="22"/>
          <w:szCs w:val="22"/>
          <w:lang w:val="en-US"/>
        </w:rPr>
      </w:pPr>
      <w:r w:rsidRPr="00B6446B">
        <w:rPr>
          <w:rFonts w:ascii="Sylfaen" w:hAnsi="Sylfaen"/>
          <w:sz w:val="22"/>
          <w:szCs w:val="22"/>
          <w:lang w:val="en-US"/>
        </w:rPr>
        <w:t>Students are required to complete a minimum of 14 contact hours for each module, with the exception of Data Management and Biostatistics I and II, which require 20 contact hours. Students who fail to meet the mandatory contact hours will be ineligible to participate in the summative assessment</w:t>
      </w:r>
      <w:r w:rsidR="00FA35DE">
        <w:rPr>
          <w:rFonts w:ascii="Sylfaen" w:hAnsi="Sylfaen"/>
          <w:sz w:val="22"/>
          <w:szCs w:val="22"/>
          <w:lang w:val="en-US"/>
        </w:rPr>
        <w:t xml:space="preserve"> of the module</w:t>
      </w:r>
      <w:r w:rsidRPr="00B6446B">
        <w:rPr>
          <w:rFonts w:ascii="Sylfaen" w:hAnsi="Sylfaen"/>
          <w:sz w:val="22"/>
          <w:szCs w:val="22"/>
          <w:lang w:val="en-US"/>
        </w:rPr>
        <w:t>. Such students must compensate for the missed hours and will be permitted to undertake the summative assessment only during the designated re-examination period.</w:t>
      </w:r>
    </w:p>
    <w:p w14:paraId="76498756" w14:textId="4AA9DF82" w:rsidR="00207F46" w:rsidRPr="00207F46" w:rsidRDefault="004B077B" w:rsidP="00207F46">
      <w:pPr>
        <w:pStyle w:val="NormalWeb"/>
        <w:numPr>
          <w:ilvl w:val="0"/>
          <w:numId w:val="26"/>
        </w:numPr>
        <w:spacing w:before="0" w:beforeAutospacing="0" w:after="0" w:afterAutospacing="0" w:line="276" w:lineRule="auto"/>
        <w:rPr>
          <w:rFonts w:ascii="Sylfaen" w:hAnsi="Sylfaen"/>
          <w:sz w:val="22"/>
          <w:szCs w:val="22"/>
          <w:lang w:val="en-US"/>
        </w:rPr>
      </w:pPr>
      <w:r>
        <w:rPr>
          <w:rFonts w:ascii="Sylfaen" w:hAnsi="Sylfaen"/>
          <w:sz w:val="22"/>
          <w:szCs w:val="22"/>
          <w:lang w:val="en-US"/>
        </w:rPr>
        <w:t>Students’ f</w:t>
      </w:r>
      <w:r w:rsidR="00207F46" w:rsidRPr="00207F46">
        <w:rPr>
          <w:rFonts w:ascii="Sylfaen" w:hAnsi="Sylfaen"/>
          <w:sz w:val="22"/>
          <w:szCs w:val="22"/>
          <w:lang w:val="en-US"/>
        </w:rPr>
        <w:t xml:space="preserve">ailure to meet attendance requirements </w:t>
      </w:r>
      <w:r>
        <w:rPr>
          <w:rFonts w:ascii="Sylfaen" w:hAnsi="Sylfaen"/>
          <w:sz w:val="22"/>
          <w:szCs w:val="22"/>
          <w:lang w:val="en-US"/>
        </w:rPr>
        <w:t>for 71-100 academic hours (one academic hour is 40 minute) will result in</w:t>
      </w:r>
      <w:r w:rsidR="00F37C12">
        <w:rPr>
          <w:rFonts w:ascii="Sylfaen" w:hAnsi="Sylfaen"/>
          <w:sz w:val="22"/>
          <w:szCs w:val="22"/>
          <w:lang w:val="en-US"/>
        </w:rPr>
        <w:t xml:space="preserve"> written warning</w:t>
      </w:r>
      <w:r>
        <w:rPr>
          <w:rFonts w:ascii="Sylfaen" w:hAnsi="Sylfaen"/>
          <w:sz w:val="22"/>
          <w:szCs w:val="22"/>
          <w:lang w:val="en-US"/>
        </w:rPr>
        <w:t xml:space="preserve"> and for 101 academic hours and more </w:t>
      </w:r>
      <w:r w:rsidR="00F37C12">
        <w:rPr>
          <w:rFonts w:ascii="Sylfaen" w:hAnsi="Sylfaen"/>
          <w:sz w:val="22"/>
          <w:szCs w:val="22"/>
          <w:lang w:val="en-US"/>
        </w:rPr>
        <w:t xml:space="preserve">will </w:t>
      </w:r>
      <w:r>
        <w:rPr>
          <w:rFonts w:ascii="Sylfaen" w:hAnsi="Sylfaen"/>
          <w:sz w:val="22"/>
          <w:szCs w:val="22"/>
          <w:lang w:val="en-US"/>
        </w:rPr>
        <w:t>result</w:t>
      </w:r>
      <w:r w:rsidRPr="004B077B">
        <w:rPr>
          <w:rFonts w:ascii="Sylfaen" w:hAnsi="Sylfaen"/>
          <w:sz w:val="22"/>
          <w:szCs w:val="22"/>
          <w:lang w:val="en-US"/>
        </w:rPr>
        <w:t xml:space="preserve"> </w:t>
      </w:r>
      <w:r w:rsidRPr="00207F46">
        <w:rPr>
          <w:rFonts w:ascii="Sylfaen" w:hAnsi="Sylfaen"/>
          <w:sz w:val="22"/>
          <w:szCs w:val="22"/>
          <w:lang w:val="en-US"/>
        </w:rPr>
        <w:t>in dismissal from the program</w:t>
      </w:r>
      <w:r>
        <w:rPr>
          <w:rFonts w:ascii="Sylfaen" w:hAnsi="Sylfaen"/>
          <w:sz w:val="22"/>
          <w:szCs w:val="22"/>
          <w:lang w:val="en-US"/>
        </w:rPr>
        <w:t>.</w:t>
      </w:r>
    </w:p>
    <w:p w14:paraId="7DD9F064" w14:textId="0FB2FD4D" w:rsidR="00207F46" w:rsidRPr="00207F46" w:rsidRDefault="00207F46" w:rsidP="00207F46">
      <w:pPr>
        <w:pStyle w:val="NormalWeb"/>
        <w:numPr>
          <w:ilvl w:val="0"/>
          <w:numId w:val="27"/>
        </w:numPr>
        <w:tabs>
          <w:tab w:val="clear" w:pos="720"/>
          <w:tab w:val="num" w:pos="284"/>
        </w:tabs>
        <w:spacing w:before="0" w:beforeAutospacing="0" w:after="0" w:afterAutospacing="0" w:line="276" w:lineRule="auto"/>
        <w:ind w:hanging="720"/>
        <w:rPr>
          <w:rFonts w:ascii="Sylfaen" w:hAnsi="Sylfaen"/>
          <w:sz w:val="22"/>
          <w:szCs w:val="22"/>
        </w:rPr>
      </w:pPr>
      <w:r w:rsidRPr="00207F46">
        <w:rPr>
          <w:rStyle w:val="Strong"/>
          <w:rFonts w:ascii="Sylfaen" w:hAnsi="Sylfaen"/>
          <w:sz w:val="22"/>
          <w:szCs w:val="22"/>
        </w:rPr>
        <w:t>Academic Integrity</w:t>
      </w:r>
    </w:p>
    <w:p w14:paraId="67576D70" w14:textId="77777777" w:rsidR="00F37C12" w:rsidRPr="00F37C12" w:rsidRDefault="00207F46" w:rsidP="00652106">
      <w:pPr>
        <w:pStyle w:val="NormalWeb"/>
        <w:numPr>
          <w:ilvl w:val="0"/>
          <w:numId w:val="27"/>
        </w:numPr>
        <w:spacing w:before="0" w:beforeAutospacing="0" w:after="0" w:afterAutospacing="0" w:line="276" w:lineRule="auto"/>
        <w:rPr>
          <w:rFonts w:ascii="Sylfaen" w:hAnsi="Sylfaen"/>
          <w:sz w:val="22"/>
          <w:szCs w:val="22"/>
          <w:lang w:val="en-US"/>
        </w:rPr>
      </w:pPr>
      <w:r w:rsidRPr="00F37C12">
        <w:rPr>
          <w:rFonts w:ascii="Sylfaen" w:hAnsi="Sylfaen"/>
          <w:sz w:val="22"/>
          <w:szCs w:val="22"/>
          <w:lang w:val="en-US"/>
        </w:rPr>
        <w:t xml:space="preserve">Plagiarism, falsification of data, or academic dishonesty in any assessment or thesis work </w:t>
      </w:r>
      <w:r w:rsidR="00F37C12" w:rsidRPr="00F37C12">
        <w:rPr>
          <w:lang w:val="en-US"/>
        </w:rPr>
        <w:t>are considered serious violations.</w:t>
      </w:r>
    </w:p>
    <w:p w14:paraId="5F328F7C" w14:textId="3935FDD4" w:rsidR="00207F46" w:rsidRPr="00F37C12" w:rsidRDefault="00207F46" w:rsidP="00652106">
      <w:pPr>
        <w:pStyle w:val="NormalWeb"/>
        <w:numPr>
          <w:ilvl w:val="0"/>
          <w:numId w:val="27"/>
        </w:numPr>
        <w:spacing w:before="0" w:beforeAutospacing="0" w:after="0" w:afterAutospacing="0" w:line="276" w:lineRule="auto"/>
        <w:rPr>
          <w:rFonts w:ascii="Sylfaen" w:hAnsi="Sylfaen"/>
          <w:sz w:val="22"/>
          <w:szCs w:val="22"/>
          <w:lang w:val="en-US"/>
        </w:rPr>
      </w:pPr>
      <w:r w:rsidRPr="00F37C12">
        <w:rPr>
          <w:rFonts w:ascii="Sylfaen" w:hAnsi="Sylfaen"/>
          <w:sz w:val="22"/>
          <w:szCs w:val="22"/>
          <w:lang w:val="en-US"/>
        </w:rPr>
        <w:t>A confirmed violation of academic integrity policies may lead to immediate dismissal from the program.</w:t>
      </w:r>
    </w:p>
    <w:p w14:paraId="31B762DC" w14:textId="3622CE41" w:rsidR="00207F46" w:rsidRPr="00207F46" w:rsidRDefault="00207F46" w:rsidP="00207F46">
      <w:pPr>
        <w:pStyle w:val="NormalWeb"/>
        <w:numPr>
          <w:ilvl w:val="0"/>
          <w:numId w:val="28"/>
        </w:numPr>
        <w:tabs>
          <w:tab w:val="clear" w:pos="720"/>
          <w:tab w:val="num" w:pos="284"/>
        </w:tabs>
        <w:spacing w:before="0" w:beforeAutospacing="0" w:after="0" w:afterAutospacing="0" w:line="276" w:lineRule="auto"/>
        <w:ind w:hanging="720"/>
        <w:rPr>
          <w:rFonts w:ascii="Sylfaen" w:hAnsi="Sylfaen"/>
          <w:sz w:val="22"/>
          <w:szCs w:val="22"/>
        </w:rPr>
      </w:pPr>
      <w:r w:rsidRPr="00207F46">
        <w:rPr>
          <w:rStyle w:val="Strong"/>
          <w:rFonts w:ascii="Sylfaen" w:hAnsi="Sylfaen"/>
          <w:sz w:val="22"/>
          <w:szCs w:val="22"/>
        </w:rPr>
        <w:t>Progression Standards</w:t>
      </w:r>
    </w:p>
    <w:p w14:paraId="63587174" w14:textId="77777777" w:rsidR="00207F46" w:rsidRPr="00207F46" w:rsidRDefault="00207F46" w:rsidP="00207F46">
      <w:pPr>
        <w:pStyle w:val="NormalWeb"/>
        <w:numPr>
          <w:ilvl w:val="0"/>
          <w:numId w:val="28"/>
        </w:numPr>
        <w:spacing w:before="0" w:beforeAutospacing="0" w:after="0" w:afterAutospacing="0" w:line="276" w:lineRule="auto"/>
        <w:rPr>
          <w:rFonts w:ascii="Sylfaen" w:hAnsi="Sylfaen"/>
          <w:sz w:val="22"/>
          <w:szCs w:val="22"/>
          <w:lang w:val="en-US"/>
        </w:rPr>
      </w:pPr>
      <w:r w:rsidRPr="00207F46">
        <w:rPr>
          <w:rFonts w:ascii="Sylfaen" w:hAnsi="Sylfaen"/>
          <w:sz w:val="22"/>
          <w:szCs w:val="22"/>
          <w:lang w:val="en-US"/>
        </w:rPr>
        <w:t>Students must successfully complete all modules of each semester before progressing to the next semester.</w:t>
      </w:r>
    </w:p>
    <w:p w14:paraId="10348FAC" w14:textId="72D2886B" w:rsidR="00207F46" w:rsidRPr="00207F46" w:rsidRDefault="00207F46" w:rsidP="00207F46">
      <w:pPr>
        <w:pStyle w:val="NormalWeb"/>
        <w:numPr>
          <w:ilvl w:val="0"/>
          <w:numId w:val="28"/>
        </w:numPr>
        <w:spacing w:before="0" w:beforeAutospacing="0" w:after="0" w:afterAutospacing="0" w:line="276" w:lineRule="auto"/>
        <w:rPr>
          <w:rFonts w:ascii="Sylfaen" w:hAnsi="Sylfaen"/>
          <w:sz w:val="22"/>
          <w:szCs w:val="22"/>
          <w:lang w:val="en-US"/>
        </w:rPr>
      </w:pPr>
      <w:r w:rsidRPr="00207F46">
        <w:rPr>
          <w:rFonts w:ascii="Sylfaen" w:hAnsi="Sylfaen"/>
          <w:sz w:val="22"/>
          <w:szCs w:val="22"/>
          <w:lang w:val="en-US"/>
        </w:rPr>
        <w:t xml:space="preserve">Students who fail to </w:t>
      </w:r>
      <w:r w:rsidR="00F37C12" w:rsidRPr="00207F46">
        <w:rPr>
          <w:rFonts w:ascii="Sylfaen" w:hAnsi="Sylfaen"/>
          <w:sz w:val="22"/>
          <w:szCs w:val="22"/>
          <w:lang w:val="en-US"/>
        </w:rPr>
        <w:t xml:space="preserve">complete all modules of </w:t>
      </w:r>
      <w:r w:rsidR="00F37C12">
        <w:rPr>
          <w:rFonts w:ascii="Sylfaen" w:hAnsi="Sylfaen"/>
          <w:sz w:val="22"/>
          <w:szCs w:val="22"/>
          <w:lang w:val="en-US"/>
        </w:rPr>
        <w:t>the</w:t>
      </w:r>
      <w:r w:rsidR="00F37C12" w:rsidRPr="00207F46">
        <w:rPr>
          <w:rFonts w:ascii="Sylfaen" w:hAnsi="Sylfaen"/>
          <w:sz w:val="22"/>
          <w:szCs w:val="22"/>
          <w:lang w:val="en-US"/>
        </w:rPr>
        <w:t xml:space="preserve"> semester</w:t>
      </w:r>
      <w:r w:rsidRPr="00207F46">
        <w:rPr>
          <w:rFonts w:ascii="Sylfaen" w:hAnsi="Sylfaen"/>
          <w:sz w:val="22"/>
          <w:szCs w:val="22"/>
          <w:lang w:val="en-US"/>
        </w:rPr>
        <w:t xml:space="preserve"> </w:t>
      </w:r>
      <w:r w:rsidR="00F37C12">
        <w:rPr>
          <w:rFonts w:ascii="Sylfaen" w:hAnsi="Sylfaen"/>
          <w:sz w:val="22"/>
          <w:szCs w:val="22"/>
          <w:lang w:val="en-US"/>
        </w:rPr>
        <w:t xml:space="preserve">will be </w:t>
      </w:r>
      <w:r w:rsidRPr="00207F46">
        <w:rPr>
          <w:rFonts w:ascii="Sylfaen" w:hAnsi="Sylfaen"/>
          <w:sz w:val="22"/>
          <w:szCs w:val="22"/>
          <w:lang w:val="en-US"/>
        </w:rPr>
        <w:t>dismissed.</w:t>
      </w:r>
    </w:p>
    <w:p w14:paraId="4FC98D1E" w14:textId="77777777" w:rsidR="00F37C12" w:rsidRDefault="00F37C12">
      <w:pPr>
        <w:rPr>
          <w:rFonts w:ascii="Sylfaen" w:eastAsia="Calibri" w:hAnsi="Sylfaen" w:cstheme="majorBidi"/>
          <w:b/>
          <w:iCs/>
          <w:color w:val="4F81BD" w:themeColor="accent1"/>
          <w:u w:val="single"/>
          <w:lang w:val="en-US" w:eastAsia="en-US"/>
        </w:rPr>
      </w:pPr>
      <w:bookmarkStart w:id="20" w:name="_MPH_IN_HEALTHCARE"/>
      <w:bookmarkEnd w:id="20"/>
      <w:r>
        <w:rPr>
          <w:rFonts w:eastAsia="Calibri"/>
          <w:i/>
          <w:iCs/>
          <w:lang w:val="en-US" w:eastAsia="en-US"/>
        </w:rPr>
        <w:br w:type="page"/>
      </w:r>
    </w:p>
    <w:p w14:paraId="56D28615" w14:textId="11C864A3" w:rsidR="0028143E" w:rsidRPr="00DD05D7" w:rsidRDefault="001A3C5B" w:rsidP="00FF1C13">
      <w:pPr>
        <w:pStyle w:val="Heading1"/>
        <w:jc w:val="center"/>
        <w:rPr>
          <w:u w:val="none"/>
          <w:lang w:val="en-US"/>
        </w:rPr>
      </w:pPr>
      <w:bookmarkStart w:id="21" w:name="_Toc207988633"/>
      <w:r w:rsidRPr="00DD05D7">
        <w:rPr>
          <w:u w:val="none"/>
          <w:lang w:val="en-US"/>
        </w:rPr>
        <w:lastRenderedPageBreak/>
        <w:t>MPH IN HEALTHCARE PLANNING AND MANAGEMENT PROGRAM CURRICULUM</w:t>
      </w:r>
      <w:bookmarkEnd w:id="21"/>
    </w:p>
    <w:p w14:paraId="454C52B7" w14:textId="61974E0B" w:rsidR="001A3C5B" w:rsidRPr="00916805" w:rsidRDefault="001A3C5B" w:rsidP="001A3C5B">
      <w:pPr>
        <w:spacing w:after="160" w:line="259" w:lineRule="auto"/>
        <w:rPr>
          <w:rFonts w:ascii="Sylfaen" w:eastAsia="Calibri" w:hAnsi="Sylfaen" w:cs="Times New Roman"/>
          <w:b/>
          <w:bCs/>
          <w:color w:val="4472C4"/>
          <w:kern w:val="2"/>
          <w:lang w:val="en-US" w:eastAsia="en-US"/>
        </w:rPr>
      </w:pPr>
      <w:r w:rsidRPr="00916805">
        <w:rPr>
          <w:rFonts w:ascii="Sylfaen" w:eastAsia="Calibri" w:hAnsi="Sylfaen" w:cs="Times New Roman"/>
          <w:b/>
          <w:bCs/>
          <w:i/>
          <w:iCs/>
          <w:noProof/>
          <w:color w:val="4472C4"/>
          <w:kern w:val="2"/>
          <w:lang w:val="en-US" w:eastAsia="en-US"/>
        </w:rPr>
        <w:drawing>
          <wp:inline distT="0" distB="0" distL="0" distR="0" wp14:anchorId="0499D6BD" wp14:editId="1F7035A7">
            <wp:extent cx="6124575" cy="148743"/>
            <wp:effectExtent l="0" t="0" r="0" b="0"/>
            <wp:docPr id="213729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3976" cy="170343"/>
                    </a:xfrm>
                    <a:prstGeom prst="rect">
                      <a:avLst/>
                    </a:prstGeom>
                    <a:noFill/>
                  </pic:spPr>
                </pic:pic>
              </a:graphicData>
            </a:graphic>
          </wp:inline>
        </w:drawing>
      </w:r>
    </w:p>
    <w:tbl>
      <w:tblPr>
        <w:tblStyle w:val="TableGrid4"/>
        <w:tblW w:w="11023" w:type="dxa"/>
        <w:tblInd w:w="-743" w:type="dxa"/>
        <w:tblLayout w:type="fixed"/>
        <w:tblLook w:val="04A0" w:firstRow="1" w:lastRow="0" w:firstColumn="1" w:lastColumn="0" w:noHBand="0" w:noVBand="1"/>
      </w:tblPr>
      <w:tblGrid>
        <w:gridCol w:w="3369"/>
        <w:gridCol w:w="3118"/>
        <w:gridCol w:w="1588"/>
        <w:gridCol w:w="1418"/>
        <w:gridCol w:w="1530"/>
      </w:tblGrid>
      <w:tr w:rsidR="00FA35DE" w:rsidRPr="00ED06FB" w14:paraId="3566ECEF" w14:textId="77777777" w:rsidTr="00FA35DE">
        <w:trPr>
          <w:trHeight w:val="502"/>
        </w:trPr>
        <w:tc>
          <w:tcPr>
            <w:tcW w:w="11023" w:type="dxa"/>
            <w:gridSpan w:val="5"/>
            <w:shd w:val="clear" w:color="auto" w:fill="C6D9F1" w:themeFill="text2" w:themeFillTint="33"/>
          </w:tcPr>
          <w:p w14:paraId="04FE9356" w14:textId="77777777" w:rsidR="00FA35DE" w:rsidRPr="00FA35DE" w:rsidRDefault="00FA35DE" w:rsidP="00FA35DE">
            <w:pPr>
              <w:jc w:val="center"/>
              <w:rPr>
                <w:rFonts w:ascii="Sylfaen" w:hAnsi="Sylfaen"/>
                <w:b/>
                <w:iCs/>
                <w:lang w:val="hy-AM"/>
              </w:rPr>
            </w:pPr>
            <w:bookmarkStart w:id="22" w:name="_Hlk200644475"/>
            <w:bookmarkStart w:id="23" w:name="_Hlk200646270"/>
            <w:bookmarkStart w:id="24" w:name="_Hlk178949723"/>
            <w:r w:rsidRPr="00FA35DE">
              <w:rPr>
                <w:rFonts w:ascii="Sylfaen" w:hAnsi="Sylfaen"/>
                <w:b/>
                <w:bCs/>
                <w:lang w:val="en-GB"/>
              </w:rPr>
              <w:t>Year I, Semester 1 (Fall), September 2025 – January 2026</w:t>
            </w:r>
          </w:p>
        </w:tc>
      </w:tr>
      <w:tr w:rsidR="00FA35DE" w:rsidRPr="00822294" w14:paraId="4F772C9E" w14:textId="77777777" w:rsidTr="00FA35DE">
        <w:trPr>
          <w:trHeight w:val="502"/>
        </w:trPr>
        <w:tc>
          <w:tcPr>
            <w:tcW w:w="3369" w:type="dxa"/>
            <w:shd w:val="clear" w:color="auto" w:fill="C6D9F1" w:themeFill="text2" w:themeFillTint="33"/>
          </w:tcPr>
          <w:p w14:paraId="489C6A7C" w14:textId="77777777" w:rsidR="00FA35DE" w:rsidRPr="00FA35DE" w:rsidRDefault="00FA35DE" w:rsidP="00FA35DE">
            <w:pPr>
              <w:jc w:val="center"/>
              <w:rPr>
                <w:rFonts w:ascii="Sylfaen" w:hAnsi="Sylfaen"/>
                <w:b/>
                <w:lang w:val="en-GB"/>
              </w:rPr>
            </w:pPr>
            <w:r w:rsidRPr="00FA35DE">
              <w:rPr>
                <w:rFonts w:ascii="Sylfaen" w:hAnsi="Sylfaen"/>
                <w:b/>
                <w:lang w:val="en-GB"/>
              </w:rPr>
              <w:t>Module</w:t>
            </w:r>
          </w:p>
        </w:tc>
        <w:tc>
          <w:tcPr>
            <w:tcW w:w="3118" w:type="dxa"/>
            <w:shd w:val="clear" w:color="auto" w:fill="C6D9F1" w:themeFill="text2" w:themeFillTint="33"/>
          </w:tcPr>
          <w:p w14:paraId="33ADF2D6" w14:textId="789BC49F" w:rsidR="00FA35DE" w:rsidRPr="00FA35DE" w:rsidRDefault="00FA35DE" w:rsidP="00FA35DE">
            <w:pPr>
              <w:jc w:val="center"/>
              <w:rPr>
                <w:rFonts w:ascii="Sylfaen" w:hAnsi="Sylfaen"/>
                <w:b/>
                <w:lang w:val="en-GB"/>
              </w:rPr>
            </w:pPr>
            <w:r w:rsidRPr="00FA35DE">
              <w:rPr>
                <w:rFonts w:ascii="Sylfaen" w:hAnsi="Sylfaen"/>
                <w:b/>
                <w:lang w:val="en-GB"/>
              </w:rPr>
              <w:t>Shift</w:t>
            </w:r>
          </w:p>
        </w:tc>
        <w:tc>
          <w:tcPr>
            <w:tcW w:w="1588" w:type="dxa"/>
            <w:shd w:val="clear" w:color="auto" w:fill="C6D9F1" w:themeFill="text2" w:themeFillTint="33"/>
          </w:tcPr>
          <w:p w14:paraId="3349C2C6" w14:textId="77777777" w:rsidR="00FA35DE" w:rsidRPr="00FA35DE" w:rsidRDefault="00FA35DE" w:rsidP="00FA35DE">
            <w:pPr>
              <w:jc w:val="center"/>
              <w:rPr>
                <w:rFonts w:ascii="Sylfaen" w:hAnsi="Sylfaen"/>
                <w:b/>
                <w:lang w:val="en-GB"/>
              </w:rPr>
            </w:pPr>
            <w:r w:rsidRPr="00FA35DE">
              <w:rPr>
                <w:rFonts w:ascii="Sylfaen" w:hAnsi="Sylfaen"/>
                <w:b/>
                <w:lang w:val="en-GB"/>
              </w:rPr>
              <w:t>Teaching Week</w:t>
            </w:r>
          </w:p>
        </w:tc>
        <w:tc>
          <w:tcPr>
            <w:tcW w:w="1418" w:type="dxa"/>
            <w:shd w:val="clear" w:color="auto" w:fill="C6D9F1" w:themeFill="text2" w:themeFillTint="33"/>
          </w:tcPr>
          <w:p w14:paraId="2FC20743" w14:textId="77777777" w:rsidR="00FA35DE" w:rsidRPr="00FA35DE" w:rsidRDefault="00FA35DE" w:rsidP="00FA35DE">
            <w:pPr>
              <w:jc w:val="center"/>
              <w:rPr>
                <w:rFonts w:ascii="Sylfaen" w:hAnsi="Sylfaen"/>
                <w:b/>
                <w:lang w:val="en-GB"/>
              </w:rPr>
            </w:pPr>
            <w:r w:rsidRPr="00FA35DE">
              <w:rPr>
                <w:rFonts w:ascii="Sylfaen" w:hAnsi="Sylfaen"/>
                <w:b/>
                <w:lang w:val="en-GB"/>
              </w:rPr>
              <w:t>Week starting</w:t>
            </w:r>
          </w:p>
        </w:tc>
        <w:tc>
          <w:tcPr>
            <w:tcW w:w="1530" w:type="dxa"/>
            <w:shd w:val="clear" w:color="auto" w:fill="C6D9F1" w:themeFill="text2" w:themeFillTint="33"/>
          </w:tcPr>
          <w:p w14:paraId="419D6D4E" w14:textId="77777777" w:rsidR="00FA35DE" w:rsidRPr="00FA35DE" w:rsidRDefault="00FA35DE" w:rsidP="00FA35DE">
            <w:pPr>
              <w:jc w:val="center"/>
              <w:rPr>
                <w:rFonts w:ascii="Sylfaen" w:hAnsi="Sylfaen"/>
                <w:b/>
                <w:lang w:val="en-GB"/>
              </w:rPr>
            </w:pPr>
            <w:r w:rsidRPr="00FA35DE">
              <w:rPr>
                <w:rFonts w:ascii="Sylfaen" w:hAnsi="Sylfaen"/>
                <w:b/>
                <w:lang w:val="en-GB"/>
              </w:rPr>
              <w:t>Class days</w:t>
            </w:r>
          </w:p>
        </w:tc>
      </w:tr>
      <w:tr w:rsidR="002873E8" w:rsidRPr="00822294" w14:paraId="71A19B19" w14:textId="77777777" w:rsidTr="002873E8">
        <w:trPr>
          <w:trHeight w:val="365"/>
        </w:trPr>
        <w:tc>
          <w:tcPr>
            <w:tcW w:w="3369" w:type="dxa"/>
            <w:vMerge w:val="restart"/>
            <w:shd w:val="clear" w:color="auto" w:fill="F6F9FC"/>
          </w:tcPr>
          <w:p w14:paraId="29F776BA" w14:textId="77777777" w:rsidR="00FA35DE" w:rsidRPr="00FA35DE" w:rsidRDefault="00FA35DE" w:rsidP="00FA35DE">
            <w:pPr>
              <w:jc w:val="both"/>
              <w:rPr>
                <w:rFonts w:ascii="Sylfaen" w:hAnsi="Sylfaen"/>
                <w:bCs/>
                <w:lang w:val="en-GB"/>
              </w:rPr>
            </w:pPr>
            <w:r w:rsidRPr="00FA35DE">
              <w:rPr>
                <w:rFonts w:ascii="Sylfaen" w:hAnsi="Sylfaen"/>
                <w:bCs/>
                <w:lang w:val="en-GB"/>
              </w:rPr>
              <w:t>Problem Solving Paradigm in Public Health</w:t>
            </w:r>
            <w:r w:rsidRPr="00FA35DE">
              <w:rPr>
                <w:rFonts w:ascii="Sylfaen" w:hAnsi="Sylfaen"/>
                <w:bCs/>
                <w:lang w:val="hy-AM"/>
              </w:rPr>
              <w:t xml:space="preserve"> </w:t>
            </w:r>
          </w:p>
        </w:tc>
        <w:tc>
          <w:tcPr>
            <w:tcW w:w="3118" w:type="dxa"/>
            <w:shd w:val="clear" w:color="auto" w:fill="DBE5F1" w:themeFill="accent1" w:themeFillTint="33"/>
          </w:tcPr>
          <w:p w14:paraId="1592826F"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30A28D07" w14:textId="77777777" w:rsidR="00FA35DE" w:rsidRPr="00FA35DE" w:rsidRDefault="00FA35DE" w:rsidP="00FA35DE">
            <w:pPr>
              <w:jc w:val="both"/>
              <w:rPr>
                <w:rFonts w:ascii="Sylfaen" w:hAnsi="Sylfaen"/>
                <w:bCs/>
                <w:lang w:val="en-GB"/>
              </w:rPr>
            </w:pPr>
            <w:r w:rsidRPr="00FA35DE">
              <w:rPr>
                <w:rFonts w:ascii="Sylfaen" w:hAnsi="Sylfaen"/>
                <w:bCs/>
                <w:lang w:val="en-GB"/>
              </w:rPr>
              <w:t>1- 2</w:t>
            </w:r>
          </w:p>
        </w:tc>
        <w:tc>
          <w:tcPr>
            <w:tcW w:w="1418" w:type="dxa"/>
            <w:vMerge w:val="restart"/>
            <w:shd w:val="clear" w:color="auto" w:fill="F6F9FC"/>
          </w:tcPr>
          <w:p w14:paraId="670921ED" w14:textId="77777777" w:rsidR="00FA35DE" w:rsidRPr="00FA35DE" w:rsidRDefault="00FA35DE" w:rsidP="00FA35DE">
            <w:pPr>
              <w:jc w:val="both"/>
              <w:rPr>
                <w:rFonts w:ascii="Sylfaen" w:hAnsi="Sylfaen"/>
                <w:bCs/>
                <w:lang w:val="en-GB"/>
              </w:rPr>
            </w:pPr>
            <w:r w:rsidRPr="00FA35DE">
              <w:rPr>
                <w:rFonts w:ascii="Sylfaen" w:hAnsi="Sylfaen"/>
                <w:bCs/>
                <w:lang w:val="en-GB"/>
              </w:rPr>
              <w:t>1/9/2025</w:t>
            </w:r>
          </w:p>
        </w:tc>
        <w:tc>
          <w:tcPr>
            <w:tcW w:w="1530" w:type="dxa"/>
            <w:vMerge w:val="restart"/>
            <w:shd w:val="clear" w:color="auto" w:fill="DEEAF6"/>
          </w:tcPr>
          <w:p w14:paraId="64677FE0"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7DEC64EB" w14:textId="77777777" w:rsidTr="002873E8">
        <w:trPr>
          <w:trHeight w:val="317"/>
        </w:trPr>
        <w:tc>
          <w:tcPr>
            <w:tcW w:w="3369" w:type="dxa"/>
            <w:vMerge/>
            <w:shd w:val="clear" w:color="auto" w:fill="F6F9FC"/>
          </w:tcPr>
          <w:p w14:paraId="5FC80F68"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1903F667"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48109D4B" w14:textId="77777777" w:rsidR="00FA35DE" w:rsidRPr="00FA35DE" w:rsidRDefault="00FA35DE" w:rsidP="00FA35DE">
            <w:pPr>
              <w:jc w:val="both"/>
              <w:rPr>
                <w:rFonts w:ascii="Sylfaen" w:hAnsi="Sylfaen"/>
                <w:bCs/>
                <w:lang w:val="en-GB"/>
              </w:rPr>
            </w:pPr>
          </w:p>
        </w:tc>
        <w:tc>
          <w:tcPr>
            <w:tcW w:w="1418" w:type="dxa"/>
            <w:vMerge/>
            <w:shd w:val="clear" w:color="auto" w:fill="F6F9FC"/>
          </w:tcPr>
          <w:p w14:paraId="406F11D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000C963D" w14:textId="77777777" w:rsidR="00FA35DE" w:rsidRPr="00FA35DE" w:rsidRDefault="00FA35DE" w:rsidP="00FA35DE">
            <w:pPr>
              <w:jc w:val="both"/>
              <w:rPr>
                <w:rFonts w:ascii="Sylfaen" w:hAnsi="Sylfaen"/>
                <w:bCs/>
                <w:lang w:val="en-GB"/>
              </w:rPr>
            </w:pPr>
          </w:p>
        </w:tc>
      </w:tr>
      <w:tr w:rsidR="002873E8" w:rsidRPr="00822294" w14:paraId="69DF3B3E" w14:textId="77777777" w:rsidTr="002873E8">
        <w:trPr>
          <w:trHeight w:val="390"/>
        </w:trPr>
        <w:tc>
          <w:tcPr>
            <w:tcW w:w="3369" w:type="dxa"/>
            <w:vMerge w:val="restart"/>
            <w:shd w:val="clear" w:color="auto" w:fill="F6F9FC"/>
          </w:tcPr>
          <w:p w14:paraId="70E88581" w14:textId="77777777" w:rsidR="00FA35DE" w:rsidRPr="00FA35DE" w:rsidRDefault="00FA35DE" w:rsidP="00FA35DE">
            <w:pPr>
              <w:jc w:val="both"/>
              <w:rPr>
                <w:rFonts w:ascii="Sylfaen" w:hAnsi="Sylfaen"/>
                <w:bCs/>
                <w:lang w:val="en-GB"/>
              </w:rPr>
            </w:pPr>
            <w:bookmarkStart w:id="25" w:name="_Hlk112070543"/>
            <w:r w:rsidRPr="00FA35DE">
              <w:rPr>
                <w:rFonts w:ascii="Sylfaen" w:hAnsi="Sylfaen"/>
                <w:bCs/>
                <w:lang w:val="en-GB"/>
              </w:rPr>
              <w:t>Data Management</w:t>
            </w:r>
          </w:p>
        </w:tc>
        <w:tc>
          <w:tcPr>
            <w:tcW w:w="3118" w:type="dxa"/>
            <w:shd w:val="clear" w:color="auto" w:fill="DBE5F1" w:themeFill="accent1" w:themeFillTint="33"/>
          </w:tcPr>
          <w:p w14:paraId="23569057"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4AEC116D"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3 – 4 </w:t>
            </w:r>
          </w:p>
        </w:tc>
        <w:tc>
          <w:tcPr>
            <w:tcW w:w="1418" w:type="dxa"/>
            <w:vMerge w:val="restart"/>
            <w:shd w:val="clear" w:color="auto" w:fill="F6F9FC"/>
          </w:tcPr>
          <w:p w14:paraId="5D6568CC" w14:textId="77777777" w:rsidR="00FA35DE" w:rsidRPr="00FA35DE" w:rsidRDefault="00FA35DE" w:rsidP="00FA35DE">
            <w:pPr>
              <w:jc w:val="both"/>
              <w:rPr>
                <w:rFonts w:ascii="Sylfaen" w:hAnsi="Sylfaen"/>
                <w:bCs/>
                <w:lang w:val="en-GB"/>
              </w:rPr>
            </w:pPr>
            <w:r w:rsidRPr="00FA35DE">
              <w:rPr>
                <w:rFonts w:ascii="Sylfaen" w:hAnsi="Sylfaen"/>
                <w:bCs/>
                <w:lang w:val="en-GB"/>
              </w:rPr>
              <w:t>15/9/2025</w:t>
            </w:r>
          </w:p>
          <w:p w14:paraId="16725106" w14:textId="77777777" w:rsidR="00FA35DE" w:rsidRPr="00FA35DE" w:rsidRDefault="00FA35DE" w:rsidP="00FA35DE">
            <w:pPr>
              <w:jc w:val="both"/>
              <w:rPr>
                <w:rFonts w:ascii="Sylfaen" w:hAnsi="Sylfaen"/>
                <w:bCs/>
                <w:lang w:val="en-GB"/>
              </w:rPr>
            </w:pPr>
          </w:p>
        </w:tc>
        <w:tc>
          <w:tcPr>
            <w:tcW w:w="1530" w:type="dxa"/>
            <w:vMerge w:val="restart"/>
            <w:shd w:val="clear" w:color="auto" w:fill="DEEAF6"/>
          </w:tcPr>
          <w:p w14:paraId="3A9B10C5" w14:textId="77777777" w:rsidR="00FA35DE" w:rsidRPr="00FA35DE" w:rsidRDefault="00FA35DE" w:rsidP="00FA35DE">
            <w:pPr>
              <w:jc w:val="both"/>
              <w:rPr>
                <w:rFonts w:ascii="Sylfaen" w:hAnsi="Sylfaen"/>
                <w:bCs/>
                <w:lang w:val="en-GB"/>
              </w:rPr>
            </w:pPr>
            <w:r w:rsidRPr="00FA35DE">
              <w:rPr>
                <w:rFonts w:ascii="Sylfaen" w:hAnsi="Sylfaen"/>
                <w:bCs/>
                <w:lang w:val="en-GB"/>
              </w:rPr>
              <w:t>Monday-Friday</w:t>
            </w:r>
          </w:p>
        </w:tc>
      </w:tr>
      <w:tr w:rsidR="002873E8" w:rsidRPr="00822294" w14:paraId="50F9C1CE" w14:textId="77777777" w:rsidTr="002873E8">
        <w:trPr>
          <w:trHeight w:val="390"/>
        </w:trPr>
        <w:tc>
          <w:tcPr>
            <w:tcW w:w="3369" w:type="dxa"/>
            <w:vMerge/>
            <w:shd w:val="clear" w:color="auto" w:fill="F6F9FC"/>
          </w:tcPr>
          <w:p w14:paraId="33F0A605"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321DE842"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4063E8AB" w14:textId="77777777" w:rsidR="00FA35DE" w:rsidRPr="00FA35DE" w:rsidRDefault="00FA35DE" w:rsidP="00FA35DE">
            <w:pPr>
              <w:jc w:val="both"/>
              <w:rPr>
                <w:rFonts w:ascii="Sylfaen" w:hAnsi="Sylfaen"/>
                <w:bCs/>
                <w:lang w:val="en-GB"/>
              </w:rPr>
            </w:pPr>
          </w:p>
        </w:tc>
        <w:tc>
          <w:tcPr>
            <w:tcW w:w="1418" w:type="dxa"/>
            <w:vMerge/>
            <w:shd w:val="clear" w:color="auto" w:fill="F6F9FC"/>
          </w:tcPr>
          <w:p w14:paraId="53E1C6E8" w14:textId="77777777" w:rsidR="00FA35DE" w:rsidRPr="00FA35DE" w:rsidRDefault="00FA35DE" w:rsidP="00FA35DE">
            <w:pPr>
              <w:jc w:val="both"/>
              <w:rPr>
                <w:rFonts w:ascii="Sylfaen" w:hAnsi="Sylfaen"/>
                <w:bCs/>
                <w:lang w:val="en-GB"/>
              </w:rPr>
            </w:pPr>
          </w:p>
        </w:tc>
        <w:tc>
          <w:tcPr>
            <w:tcW w:w="1530" w:type="dxa"/>
            <w:vMerge/>
            <w:shd w:val="clear" w:color="auto" w:fill="DEEAF6"/>
          </w:tcPr>
          <w:p w14:paraId="17988382" w14:textId="77777777" w:rsidR="00FA35DE" w:rsidRPr="00FA35DE" w:rsidRDefault="00FA35DE" w:rsidP="00FA35DE">
            <w:pPr>
              <w:jc w:val="both"/>
              <w:rPr>
                <w:rFonts w:ascii="Sylfaen" w:hAnsi="Sylfaen"/>
                <w:bCs/>
                <w:lang w:val="en-GB"/>
              </w:rPr>
            </w:pPr>
          </w:p>
        </w:tc>
      </w:tr>
      <w:bookmarkEnd w:id="25"/>
      <w:tr w:rsidR="002873E8" w:rsidRPr="00822294" w14:paraId="2B268ECB" w14:textId="77777777" w:rsidTr="002873E8">
        <w:trPr>
          <w:trHeight w:val="390"/>
        </w:trPr>
        <w:tc>
          <w:tcPr>
            <w:tcW w:w="3369" w:type="dxa"/>
            <w:vMerge w:val="restart"/>
            <w:shd w:val="clear" w:color="auto" w:fill="F6F9FC"/>
          </w:tcPr>
          <w:p w14:paraId="188CE2CA" w14:textId="77777777" w:rsidR="00FA35DE" w:rsidRPr="00FA35DE" w:rsidRDefault="00FA35DE" w:rsidP="00FA35DE">
            <w:pPr>
              <w:jc w:val="both"/>
              <w:rPr>
                <w:rFonts w:ascii="Sylfaen" w:hAnsi="Sylfaen"/>
                <w:bCs/>
                <w:lang w:val="en-GB"/>
              </w:rPr>
            </w:pPr>
            <w:r w:rsidRPr="00FA35DE">
              <w:rPr>
                <w:rFonts w:ascii="Sylfaen" w:hAnsi="Sylfaen"/>
                <w:lang w:val="en-GB"/>
              </w:rPr>
              <w:t>Biostatistics I</w:t>
            </w:r>
          </w:p>
        </w:tc>
        <w:tc>
          <w:tcPr>
            <w:tcW w:w="3118" w:type="dxa"/>
            <w:shd w:val="clear" w:color="auto" w:fill="DBE5F1" w:themeFill="accent1" w:themeFillTint="33"/>
          </w:tcPr>
          <w:p w14:paraId="6FE528E3"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455E6D92" w14:textId="77777777" w:rsidR="00FA35DE" w:rsidRPr="00FA35DE" w:rsidRDefault="00FA35DE" w:rsidP="00FA35DE">
            <w:pPr>
              <w:jc w:val="both"/>
              <w:rPr>
                <w:rFonts w:ascii="Sylfaen" w:hAnsi="Sylfaen"/>
                <w:bCs/>
                <w:lang w:val="en-GB"/>
              </w:rPr>
            </w:pPr>
            <w:r w:rsidRPr="00FA35DE">
              <w:rPr>
                <w:rFonts w:ascii="Sylfaen" w:hAnsi="Sylfaen"/>
                <w:bCs/>
                <w:lang w:val="en-GB"/>
              </w:rPr>
              <w:t>5 - 6</w:t>
            </w:r>
          </w:p>
        </w:tc>
        <w:tc>
          <w:tcPr>
            <w:tcW w:w="1418" w:type="dxa"/>
            <w:vMerge w:val="restart"/>
            <w:shd w:val="clear" w:color="auto" w:fill="F6F9FC"/>
          </w:tcPr>
          <w:p w14:paraId="529E6376" w14:textId="77777777" w:rsidR="00FA35DE" w:rsidRPr="00FA35DE" w:rsidRDefault="00FA35DE" w:rsidP="00FA35DE">
            <w:pPr>
              <w:jc w:val="both"/>
              <w:rPr>
                <w:rFonts w:ascii="Sylfaen" w:hAnsi="Sylfaen"/>
                <w:bCs/>
                <w:lang w:val="en-GB"/>
              </w:rPr>
            </w:pPr>
            <w:r w:rsidRPr="00FA35DE">
              <w:rPr>
                <w:rFonts w:ascii="Sylfaen" w:hAnsi="Sylfaen"/>
                <w:bCs/>
                <w:lang w:val="en-GB"/>
              </w:rPr>
              <w:t>29/9/2025</w:t>
            </w:r>
          </w:p>
        </w:tc>
        <w:tc>
          <w:tcPr>
            <w:tcW w:w="1530" w:type="dxa"/>
            <w:vMerge w:val="restart"/>
            <w:shd w:val="clear" w:color="auto" w:fill="DEEAF6"/>
          </w:tcPr>
          <w:p w14:paraId="215A9583" w14:textId="77777777" w:rsidR="00FA35DE" w:rsidRPr="00FA35DE" w:rsidRDefault="00FA35DE" w:rsidP="00FA35DE">
            <w:pPr>
              <w:jc w:val="both"/>
              <w:rPr>
                <w:rFonts w:ascii="Sylfaen" w:hAnsi="Sylfaen"/>
                <w:bCs/>
                <w:lang w:val="en-GB"/>
              </w:rPr>
            </w:pPr>
            <w:r w:rsidRPr="00FA35DE">
              <w:rPr>
                <w:rFonts w:ascii="Sylfaen" w:hAnsi="Sylfaen"/>
                <w:bCs/>
                <w:lang w:val="en-GB"/>
              </w:rPr>
              <w:t>Monday-Friday</w:t>
            </w:r>
          </w:p>
        </w:tc>
      </w:tr>
      <w:tr w:rsidR="002873E8" w:rsidRPr="00822294" w14:paraId="4D4F910E" w14:textId="77777777" w:rsidTr="002873E8">
        <w:trPr>
          <w:trHeight w:val="390"/>
        </w:trPr>
        <w:tc>
          <w:tcPr>
            <w:tcW w:w="3369" w:type="dxa"/>
            <w:vMerge/>
            <w:shd w:val="clear" w:color="auto" w:fill="F6F9FC"/>
          </w:tcPr>
          <w:p w14:paraId="0140D12D"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2EA54D24"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168D34D9" w14:textId="77777777" w:rsidR="00FA35DE" w:rsidRPr="00FA35DE" w:rsidRDefault="00FA35DE" w:rsidP="00FA35DE">
            <w:pPr>
              <w:jc w:val="both"/>
              <w:rPr>
                <w:rFonts w:ascii="Sylfaen" w:hAnsi="Sylfaen"/>
                <w:bCs/>
                <w:lang w:val="en-GB"/>
              </w:rPr>
            </w:pPr>
          </w:p>
        </w:tc>
        <w:tc>
          <w:tcPr>
            <w:tcW w:w="1418" w:type="dxa"/>
            <w:vMerge/>
            <w:shd w:val="clear" w:color="auto" w:fill="F6F9FC"/>
          </w:tcPr>
          <w:p w14:paraId="423134D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74C53A04" w14:textId="77777777" w:rsidR="00FA35DE" w:rsidRPr="00FA35DE" w:rsidRDefault="00FA35DE" w:rsidP="00FA35DE">
            <w:pPr>
              <w:jc w:val="both"/>
              <w:rPr>
                <w:rFonts w:ascii="Sylfaen" w:hAnsi="Sylfaen"/>
                <w:bCs/>
                <w:lang w:val="en-GB"/>
              </w:rPr>
            </w:pPr>
          </w:p>
        </w:tc>
      </w:tr>
      <w:tr w:rsidR="002873E8" w:rsidRPr="00822294" w14:paraId="3CAA1E17" w14:textId="77777777" w:rsidTr="002873E8">
        <w:trPr>
          <w:trHeight w:val="389"/>
        </w:trPr>
        <w:tc>
          <w:tcPr>
            <w:tcW w:w="3369" w:type="dxa"/>
            <w:vMerge w:val="restart"/>
            <w:shd w:val="clear" w:color="auto" w:fill="F6F9FC"/>
          </w:tcPr>
          <w:p w14:paraId="007CAB9E" w14:textId="77777777" w:rsidR="00FA35DE" w:rsidRPr="00FA35DE" w:rsidRDefault="00FA35DE" w:rsidP="00FA35DE">
            <w:pPr>
              <w:rPr>
                <w:rFonts w:ascii="Sylfaen" w:hAnsi="Sylfaen"/>
                <w:bCs/>
                <w:lang w:val="hy-AM"/>
              </w:rPr>
            </w:pPr>
            <w:r w:rsidRPr="00FA35DE">
              <w:rPr>
                <w:rFonts w:ascii="Sylfaen" w:hAnsi="Sylfaen"/>
                <w:lang w:val="en-GB"/>
              </w:rPr>
              <w:t>Epidemiology</w:t>
            </w:r>
            <w:r w:rsidRPr="00FA35DE">
              <w:rPr>
                <w:rFonts w:ascii="Sylfaen" w:hAnsi="Sylfaen"/>
                <w:lang w:val="hy-AM"/>
              </w:rPr>
              <w:t xml:space="preserve"> </w:t>
            </w:r>
            <w:r w:rsidRPr="00FA35DE">
              <w:rPr>
                <w:rFonts w:ascii="Sylfaen" w:hAnsi="Sylfaen"/>
                <w:lang w:val="en-GB"/>
              </w:rPr>
              <w:t xml:space="preserve">I </w:t>
            </w:r>
          </w:p>
        </w:tc>
        <w:tc>
          <w:tcPr>
            <w:tcW w:w="3118" w:type="dxa"/>
            <w:shd w:val="clear" w:color="auto" w:fill="DBE5F1" w:themeFill="accent1" w:themeFillTint="33"/>
          </w:tcPr>
          <w:p w14:paraId="49D08498"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5F7B9DE6" w14:textId="77777777" w:rsidR="00FA35DE" w:rsidRPr="00FA35DE" w:rsidRDefault="00FA35DE" w:rsidP="00FA35DE">
            <w:pPr>
              <w:jc w:val="both"/>
              <w:rPr>
                <w:rFonts w:ascii="Sylfaen" w:hAnsi="Sylfaen"/>
                <w:bCs/>
                <w:lang w:val="hy-AM"/>
              </w:rPr>
            </w:pPr>
            <w:r w:rsidRPr="00FA35DE">
              <w:rPr>
                <w:rFonts w:ascii="Sylfaen" w:hAnsi="Sylfaen"/>
                <w:bCs/>
                <w:lang w:val="hy-AM"/>
              </w:rPr>
              <w:t>7-8</w:t>
            </w:r>
          </w:p>
        </w:tc>
        <w:tc>
          <w:tcPr>
            <w:tcW w:w="1418" w:type="dxa"/>
            <w:vMerge w:val="restart"/>
            <w:shd w:val="clear" w:color="auto" w:fill="F6F9FC"/>
          </w:tcPr>
          <w:p w14:paraId="24656E5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13/10/2025</w:t>
            </w:r>
          </w:p>
        </w:tc>
        <w:tc>
          <w:tcPr>
            <w:tcW w:w="1530" w:type="dxa"/>
            <w:vMerge w:val="restart"/>
            <w:shd w:val="clear" w:color="auto" w:fill="DEEAF6"/>
          </w:tcPr>
          <w:p w14:paraId="624643F6"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4EB19C2A" w14:textId="77777777" w:rsidTr="002873E8">
        <w:trPr>
          <w:trHeight w:val="213"/>
        </w:trPr>
        <w:tc>
          <w:tcPr>
            <w:tcW w:w="3369" w:type="dxa"/>
            <w:vMerge/>
            <w:shd w:val="clear" w:color="auto" w:fill="F6F9FC"/>
          </w:tcPr>
          <w:p w14:paraId="65513D82"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78B1864E"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4D7A559F" w14:textId="77777777" w:rsidR="00FA35DE" w:rsidRPr="00FA35DE" w:rsidRDefault="00FA35DE" w:rsidP="00FA35DE">
            <w:pPr>
              <w:jc w:val="both"/>
              <w:rPr>
                <w:rFonts w:ascii="Sylfaen" w:hAnsi="Sylfaen"/>
                <w:bCs/>
                <w:lang w:val="hy-AM"/>
              </w:rPr>
            </w:pPr>
          </w:p>
        </w:tc>
        <w:tc>
          <w:tcPr>
            <w:tcW w:w="1418" w:type="dxa"/>
            <w:vMerge/>
            <w:shd w:val="clear" w:color="auto" w:fill="F6F9FC"/>
          </w:tcPr>
          <w:p w14:paraId="69339531"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7AEF703C" w14:textId="77777777" w:rsidR="00FA35DE" w:rsidRPr="00FA35DE" w:rsidRDefault="00FA35DE" w:rsidP="00FA35DE">
            <w:pPr>
              <w:jc w:val="both"/>
              <w:rPr>
                <w:rFonts w:ascii="Sylfaen" w:hAnsi="Sylfaen"/>
                <w:bCs/>
                <w:color w:val="767171"/>
                <w:lang w:val="hy-AM"/>
              </w:rPr>
            </w:pPr>
          </w:p>
        </w:tc>
      </w:tr>
      <w:tr w:rsidR="002873E8" w:rsidRPr="00822294" w14:paraId="79AE6434" w14:textId="77777777" w:rsidTr="002873E8">
        <w:trPr>
          <w:trHeight w:val="362"/>
        </w:trPr>
        <w:tc>
          <w:tcPr>
            <w:tcW w:w="3369" w:type="dxa"/>
            <w:vMerge w:val="restart"/>
            <w:shd w:val="clear" w:color="auto" w:fill="F6F9FC"/>
          </w:tcPr>
          <w:p w14:paraId="0EC0E688" w14:textId="77777777" w:rsidR="00FA35DE" w:rsidRPr="00FA35DE" w:rsidRDefault="00FA35DE" w:rsidP="00FA35DE">
            <w:pPr>
              <w:jc w:val="both"/>
              <w:rPr>
                <w:rFonts w:ascii="Sylfaen" w:hAnsi="Sylfaen"/>
                <w:bCs/>
                <w:lang w:val="hy-AM"/>
              </w:rPr>
            </w:pPr>
            <w:r w:rsidRPr="00FA35DE">
              <w:rPr>
                <w:rFonts w:ascii="Sylfaen" w:hAnsi="Sylfaen"/>
                <w:lang w:val="en-GB"/>
              </w:rPr>
              <w:t xml:space="preserve">Qualitative Research Methods </w:t>
            </w:r>
          </w:p>
        </w:tc>
        <w:tc>
          <w:tcPr>
            <w:tcW w:w="3118" w:type="dxa"/>
            <w:shd w:val="clear" w:color="auto" w:fill="DBE5F1" w:themeFill="accent1" w:themeFillTint="33"/>
          </w:tcPr>
          <w:p w14:paraId="195898C5"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76E97B3B" w14:textId="77777777" w:rsidR="00FA35DE" w:rsidRPr="00FA35DE" w:rsidRDefault="00FA35DE" w:rsidP="00FA35DE">
            <w:pPr>
              <w:jc w:val="both"/>
              <w:rPr>
                <w:rFonts w:ascii="Sylfaen" w:hAnsi="Sylfaen"/>
                <w:bCs/>
                <w:lang w:val="hy-AM"/>
              </w:rPr>
            </w:pPr>
            <w:r w:rsidRPr="00FA35DE">
              <w:rPr>
                <w:rFonts w:ascii="Sylfaen" w:hAnsi="Sylfaen"/>
                <w:bCs/>
                <w:lang w:val="en-GB"/>
              </w:rPr>
              <w:t>9-10</w:t>
            </w:r>
          </w:p>
        </w:tc>
        <w:tc>
          <w:tcPr>
            <w:tcW w:w="1418" w:type="dxa"/>
            <w:vMerge w:val="restart"/>
            <w:shd w:val="clear" w:color="auto" w:fill="F6F9FC"/>
          </w:tcPr>
          <w:p w14:paraId="76297314" w14:textId="77777777" w:rsidR="00FA35DE" w:rsidRPr="00FA35DE" w:rsidRDefault="00FA35DE" w:rsidP="00FA35DE">
            <w:pPr>
              <w:jc w:val="both"/>
              <w:rPr>
                <w:rFonts w:ascii="Sylfaen" w:hAnsi="Sylfaen"/>
                <w:bCs/>
                <w:lang w:val="en-GB"/>
              </w:rPr>
            </w:pPr>
            <w:r w:rsidRPr="00FA35DE">
              <w:rPr>
                <w:rFonts w:ascii="Sylfaen" w:hAnsi="Sylfaen"/>
                <w:bCs/>
                <w:lang w:val="en-GB"/>
              </w:rPr>
              <w:t>27/10/2025</w:t>
            </w:r>
          </w:p>
        </w:tc>
        <w:tc>
          <w:tcPr>
            <w:tcW w:w="1530" w:type="dxa"/>
            <w:vMerge w:val="restart"/>
            <w:shd w:val="clear" w:color="auto" w:fill="DEEAF6"/>
          </w:tcPr>
          <w:p w14:paraId="2F30AECB" w14:textId="77777777" w:rsidR="00FA35DE" w:rsidRPr="00FA35DE" w:rsidRDefault="00FA35DE" w:rsidP="00FA35DE">
            <w:pPr>
              <w:jc w:val="both"/>
              <w:rPr>
                <w:rFonts w:ascii="Sylfaen" w:hAnsi="Sylfaen"/>
                <w:bCs/>
                <w:lang w:val="hy-AM"/>
              </w:rPr>
            </w:pPr>
            <w:r w:rsidRPr="00FA35DE">
              <w:rPr>
                <w:rFonts w:ascii="Sylfaen" w:hAnsi="Sylfaen"/>
                <w:bCs/>
                <w:lang w:val="en-GB"/>
              </w:rPr>
              <w:t>Monday, Wednesday, Friday</w:t>
            </w:r>
          </w:p>
        </w:tc>
      </w:tr>
      <w:tr w:rsidR="002873E8" w:rsidRPr="00822294" w14:paraId="77B94C38" w14:textId="77777777" w:rsidTr="002873E8">
        <w:trPr>
          <w:trHeight w:val="379"/>
        </w:trPr>
        <w:tc>
          <w:tcPr>
            <w:tcW w:w="3369" w:type="dxa"/>
            <w:vMerge/>
            <w:shd w:val="clear" w:color="auto" w:fill="F6F9FC"/>
          </w:tcPr>
          <w:p w14:paraId="32472384"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6E2A45E8"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66C8D602" w14:textId="77777777" w:rsidR="00FA35DE" w:rsidRPr="00FA35DE" w:rsidRDefault="00FA35DE" w:rsidP="00FA35DE">
            <w:pPr>
              <w:jc w:val="both"/>
              <w:rPr>
                <w:rFonts w:ascii="Sylfaen" w:hAnsi="Sylfaen"/>
                <w:bCs/>
                <w:lang w:val="en-GB"/>
              </w:rPr>
            </w:pPr>
          </w:p>
        </w:tc>
        <w:tc>
          <w:tcPr>
            <w:tcW w:w="1418" w:type="dxa"/>
            <w:vMerge/>
            <w:shd w:val="clear" w:color="auto" w:fill="F6F9FC"/>
          </w:tcPr>
          <w:p w14:paraId="41C6E6F7" w14:textId="77777777" w:rsidR="00FA35DE" w:rsidRPr="00FA35DE" w:rsidRDefault="00FA35DE" w:rsidP="00FA35DE">
            <w:pPr>
              <w:jc w:val="both"/>
              <w:rPr>
                <w:rFonts w:ascii="Sylfaen" w:hAnsi="Sylfaen"/>
                <w:bCs/>
                <w:lang w:val="en-GB"/>
              </w:rPr>
            </w:pPr>
          </w:p>
        </w:tc>
        <w:tc>
          <w:tcPr>
            <w:tcW w:w="1530" w:type="dxa"/>
            <w:vMerge/>
            <w:shd w:val="clear" w:color="auto" w:fill="DEEAF6"/>
          </w:tcPr>
          <w:p w14:paraId="06975C37" w14:textId="77777777" w:rsidR="00FA35DE" w:rsidRPr="00FA35DE" w:rsidRDefault="00FA35DE" w:rsidP="00FA35DE">
            <w:pPr>
              <w:jc w:val="both"/>
              <w:rPr>
                <w:rFonts w:ascii="Sylfaen" w:hAnsi="Sylfaen"/>
                <w:bCs/>
                <w:lang w:val="en-GB"/>
              </w:rPr>
            </w:pPr>
          </w:p>
        </w:tc>
      </w:tr>
      <w:tr w:rsidR="002873E8" w:rsidRPr="00822294" w14:paraId="2E009526" w14:textId="77777777" w:rsidTr="002873E8">
        <w:trPr>
          <w:trHeight w:val="188"/>
        </w:trPr>
        <w:tc>
          <w:tcPr>
            <w:tcW w:w="3369" w:type="dxa"/>
            <w:vMerge w:val="restart"/>
            <w:shd w:val="clear" w:color="auto" w:fill="F6F9FC"/>
          </w:tcPr>
          <w:p w14:paraId="1AAE00EC" w14:textId="77777777" w:rsidR="00FA35DE" w:rsidRPr="00FA35DE" w:rsidRDefault="00FA35DE" w:rsidP="00FA35DE">
            <w:pPr>
              <w:rPr>
                <w:rFonts w:ascii="Sylfaen" w:hAnsi="Sylfaen"/>
                <w:lang w:val="en-GB"/>
              </w:rPr>
            </w:pPr>
            <w:r w:rsidRPr="00FA35DE">
              <w:rPr>
                <w:rFonts w:ascii="Sylfaen" w:hAnsi="Sylfaen"/>
                <w:lang w:val="en-GB"/>
              </w:rPr>
              <w:t>Quantitative Research Methods</w:t>
            </w:r>
          </w:p>
        </w:tc>
        <w:tc>
          <w:tcPr>
            <w:tcW w:w="3118" w:type="dxa"/>
            <w:shd w:val="clear" w:color="auto" w:fill="DBE5F1" w:themeFill="accent1" w:themeFillTint="33"/>
          </w:tcPr>
          <w:p w14:paraId="20662BE3" w14:textId="77777777" w:rsidR="00FA35DE" w:rsidRPr="00FA35DE" w:rsidRDefault="00FA35DE" w:rsidP="00FA35DE">
            <w:pPr>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0AAE6841" w14:textId="77777777" w:rsidR="00FA35DE" w:rsidRPr="00FA35DE" w:rsidRDefault="00FA35DE" w:rsidP="00FA35DE">
            <w:pPr>
              <w:jc w:val="both"/>
              <w:rPr>
                <w:rFonts w:ascii="Sylfaen" w:hAnsi="Sylfaen"/>
                <w:bCs/>
                <w:lang w:val="en-GB"/>
              </w:rPr>
            </w:pPr>
            <w:r w:rsidRPr="00FA35DE">
              <w:rPr>
                <w:rFonts w:ascii="Sylfaen" w:hAnsi="Sylfaen"/>
                <w:bCs/>
                <w:lang w:val="en-GB"/>
              </w:rPr>
              <w:t>11-12</w:t>
            </w:r>
          </w:p>
        </w:tc>
        <w:tc>
          <w:tcPr>
            <w:tcW w:w="1418" w:type="dxa"/>
            <w:vMerge w:val="restart"/>
            <w:shd w:val="clear" w:color="auto" w:fill="F6F9FC"/>
          </w:tcPr>
          <w:p w14:paraId="5FE22F59" w14:textId="77777777" w:rsidR="00FA35DE" w:rsidRPr="00FA35DE" w:rsidRDefault="00FA35DE" w:rsidP="00FA35DE">
            <w:pPr>
              <w:jc w:val="both"/>
              <w:rPr>
                <w:rFonts w:ascii="Sylfaen" w:hAnsi="Sylfaen"/>
                <w:bCs/>
                <w:lang w:val="en-GB"/>
              </w:rPr>
            </w:pPr>
            <w:r w:rsidRPr="00FA35DE">
              <w:rPr>
                <w:rFonts w:ascii="Sylfaen" w:hAnsi="Sylfaen"/>
                <w:bCs/>
                <w:lang w:val="en-GB"/>
              </w:rPr>
              <w:t>10/11/2025</w:t>
            </w:r>
          </w:p>
        </w:tc>
        <w:tc>
          <w:tcPr>
            <w:tcW w:w="1530" w:type="dxa"/>
            <w:vMerge w:val="restart"/>
            <w:shd w:val="clear" w:color="auto" w:fill="DEEAF6"/>
          </w:tcPr>
          <w:p w14:paraId="033F49D8"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5130A874" w14:textId="77777777" w:rsidTr="002873E8">
        <w:trPr>
          <w:trHeight w:val="187"/>
        </w:trPr>
        <w:tc>
          <w:tcPr>
            <w:tcW w:w="3369" w:type="dxa"/>
            <w:vMerge/>
            <w:shd w:val="clear" w:color="auto" w:fill="F6F9FC"/>
          </w:tcPr>
          <w:p w14:paraId="676696B1"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65AFE482"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27DE31C2" w14:textId="77777777" w:rsidR="00FA35DE" w:rsidRPr="00FA35DE" w:rsidRDefault="00FA35DE" w:rsidP="00FA35DE">
            <w:pPr>
              <w:jc w:val="both"/>
              <w:rPr>
                <w:rFonts w:ascii="Sylfaen" w:hAnsi="Sylfaen"/>
                <w:bCs/>
                <w:lang w:val="en-GB"/>
              </w:rPr>
            </w:pPr>
          </w:p>
        </w:tc>
        <w:tc>
          <w:tcPr>
            <w:tcW w:w="1418" w:type="dxa"/>
            <w:vMerge/>
            <w:shd w:val="clear" w:color="auto" w:fill="F6F9FC"/>
          </w:tcPr>
          <w:p w14:paraId="1227B3D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182B538B" w14:textId="77777777" w:rsidR="00FA35DE" w:rsidRPr="00FA35DE" w:rsidRDefault="00FA35DE" w:rsidP="00FA35DE">
            <w:pPr>
              <w:jc w:val="both"/>
              <w:rPr>
                <w:rFonts w:ascii="Sylfaen" w:hAnsi="Sylfaen"/>
                <w:bCs/>
                <w:lang w:val="en-GB"/>
              </w:rPr>
            </w:pPr>
          </w:p>
        </w:tc>
      </w:tr>
      <w:tr w:rsidR="002873E8" w:rsidRPr="00822294" w14:paraId="15548B05" w14:textId="77777777" w:rsidTr="002873E8">
        <w:trPr>
          <w:trHeight w:val="323"/>
        </w:trPr>
        <w:tc>
          <w:tcPr>
            <w:tcW w:w="3369" w:type="dxa"/>
            <w:vMerge w:val="restart"/>
            <w:shd w:val="clear" w:color="auto" w:fill="F6F9FC"/>
          </w:tcPr>
          <w:p w14:paraId="52BB4361" w14:textId="77777777" w:rsidR="00FA35DE" w:rsidRPr="00FA35DE" w:rsidRDefault="00FA35DE" w:rsidP="00FA35DE">
            <w:pPr>
              <w:jc w:val="both"/>
              <w:rPr>
                <w:rFonts w:ascii="Sylfaen" w:hAnsi="Sylfaen"/>
                <w:bCs/>
                <w:lang w:val="hy-AM"/>
              </w:rPr>
            </w:pPr>
            <w:r w:rsidRPr="00FA35DE">
              <w:rPr>
                <w:rFonts w:ascii="Sylfaen" w:hAnsi="Sylfaen"/>
                <w:lang w:val="en-GB"/>
              </w:rPr>
              <w:t xml:space="preserve">Social and </w:t>
            </w:r>
            <w:proofErr w:type="spellStart"/>
            <w:r w:rsidRPr="00FA35DE">
              <w:rPr>
                <w:rFonts w:ascii="Sylfaen" w:hAnsi="Sylfaen"/>
                <w:lang w:val="en-GB"/>
              </w:rPr>
              <w:t>Behavioral</w:t>
            </w:r>
            <w:proofErr w:type="spellEnd"/>
            <w:r w:rsidRPr="00FA35DE">
              <w:rPr>
                <w:rFonts w:ascii="Sylfaen" w:hAnsi="Sylfaen"/>
                <w:lang w:val="en-GB"/>
              </w:rPr>
              <w:t xml:space="preserve"> Sciences in Public Health</w:t>
            </w:r>
            <w:r w:rsidRPr="00FA35DE">
              <w:rPr>
                <w:rFonts w:ascii="Sylfaen" w:hAnsi="Sylfaen"/>
                <w:lang w:val="hy-AM"/>
              </w:rPr>
              <w:t xml:space="preserve"> </w:t>
            </w:r>
          </w:p>
        </w:tc>
        <w:tc>
          <w:tcPr>
            <w:tcW w:w="3118" w:type="dxa"/>
            <w:shd w:val="clear" w:color="auto" w:fill="DBE5F1" w:themeFill="accent1" w:themeFillTint="33"/>
          </w:tcPr>
          <w:p w14:paraId="7514C6E3"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391EECD3"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13-14</w:t>
            </w:r>
          </w:p>
        </w:tc>
        <w:tc>
          <w:tcPr>
            <w:tcW w:w="1418" w:type="dxa"/>
            <w:vMerge w:val="restart"/>
            <w:shd w:val="clear" w:color="auto" w:fill="F6F9FC"/>
          </w:tcPr>
          <w:p w14:paraId="727025F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24/11/2025</w:t>
            </w:r>
          </w:p>
        </w:tc>
        <w:tc>
          <w:tcPr>
            <w:tcW w:w="1530" w:type="dxa"/>
            <w:vMerge w:val="restart"/>
            <w:shd w:val="clear" w:color="auto" w:fill="DEEAF6"/>
          </w:tcPr>
          <w:p w14:paraId="536CF089"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1E4DF30A" w14:textId="77777777" w:rsidTr="002873E8">
        <w:trPr>
          <w:trHeight w:val="322"/>
        </w:trPr>
        <w:tc>
          <w:tcPr>
            <w:tcW w:w="3369" w:type="dxa"/>
            <w:vMerge/>
            <w:shd w:val="clear" w:color="auto" w:fill="F6F9FC"/>
          </w:tcPr>
          <w:p w14:paraId="6765EAB9"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4BEAA5FB"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03EE61CF" w14:textId="77777777" w:rsidR="00FA35DE" w:rsidRPr="00FA35DE" w:rsidRDefault="00FA35DE" w:rsidP="00FA35DE">
            <w:pPr>
              <w:jc w:val="both"/>
              <w:rPr>
                <w:rFonts w:ascii="Sylfaen" w:hAnsi="Sylfaen"/>
                <w:bCs/>
                <w:lang w:val="en-GB"/>
              </w:rPr>
            </w:pPr>
          </w:p>
        </w:tc>
        <w:tc>
          <w:tcPr>
            <w:tcW w:w="1418" w:type="dxa"/>
            <w:vMerge/>
            <w:shd w:val="clear" w:color="auto" w:fill="F6F9FC"/>
          </w:tcPr>
          <w:p w14:paraId="6B2AEA95" w14:textId="77777777" w:rsidR="00FA35DE" w:rsidRPr="00FA35DE" w:rsidRDefault="00FA35DE" w:rsidP="00FA35DE">
            <w:pPr>
              <w:jc w:val="both"/>
              <w:rPr>
                <w:rFonts w:ascii="Sylfaen" w:hAnsi="Sylfaen"/>
                <w:bCs/>
                <w:lang w:val="en-GB"/>
              </w:rPr>
            </w:pPr>
          </w:p>
        </w:tc>
        <w:tc>
          <w:tcPr>
            <w:tcW w:w="1530" w:type="dxa"/>
            <w:vMerge/>
            <w:shd w:val="clear" w:color="auto" w:fill="DEEAF6"/>
          </w:tcPr>
          <w:p w14:paraId="687652A8" w14:textId="77777777" w:rsidR="00FA35DE" w:rsidRPr="00FA35DE" w:rsidRDefault="00FA35DE" w:rsidP="00FA35DE">
            <w:pPr>
              <w:jc w:val="both"/>
              <w:rPr>
                <w:rFonts w:ascii="Sylfaen" w:hAnsi="Sylfaen"/>
                <w:bCs/>
                <w:lang w:val="en-GB"/>
              </w:rPr>
            </w:pPr>
          </w:p>
        </w:tc>
      </w:tr>
      <w:tr w:rsidR="002873E8" w:rsidRPr="00822294" w14:paraId="4FF2E49B" w14:textId="77777777" w:rsidTr="002873E8">
        <w:trPr>
          <w:trHeight w:val="173"/>
        </w:trPr>
        <w:tc>
          <w:tcPr>
            <w:tcW w:w="3369" w:type="dxa"/>
            <w:vMerge w:val="restart"/>
            <w:shd w:val="clear" w:color="auto" w:fill="F6F9FC"/>
          </w:tcPr>
          <w:p w14:paraId="2F7191B6" w14:textId="77777777" w:rsidR="00FA35DE" w:rsidRPr="00FA35DE" w:rsidRDefault="00FA35DE" w:rsidP="00FA35DE">
            <w:pPr>
              <w:jc w:val="both"/>
              <w:rPr>
                <w:rFonts w:ascii="Sylfaen" w:hAnsi="Sylfaen"/>
                <w:bCs/>
                <w:lang w:val="hy-AM"/>
              </w:rPr>
            </w:pPr>
            <w:r w:rsidRPr="00FA35DE">
              <w:rPr>
                <w:rFonts w:ascii="Sylfaen" w:hAnsi="Sylfaen"/>
                <w:lang w:val="en-GB"/>
              </w:rPr>
              <w:t>Healthcare Planning</w:t>
            </w:r>
          </w:p>
        </w:tc>
        <w:tc>
          <w:tcPr>
            <w:tcW w:w="3118" w:type="dxa"/>
            <w:shd w:val="clear" w:color="auto" w:fill="DBE5F1" w:themeFill="accent1" w:themeFillTint="33"/>
          </w:tcPr>
          <w:p w14:paraId="32EFCD1B"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349C646B" w14:textId="77777777" w:rsidR="00FA35DE" w:rsidRPr="00FA35DE" w:rsidRDefault="00FA35DE" w:rsidP="00FA35DE">
            <w:pPr>
              <w:jc w:val="both"/>
              <w:rPr>
                <w:rFonts w:ascii="Sylfaen" w:hAnsi="Sylfaen"/>
                <w:bCs/>
                <w:lang w:val="en-GB"/>
              </w:rPr>
            </w:pPr>
            <w:r w:rsidRPr="00FA35DE">
              <w:rPr>
                <w:rFonts w:ascii="Sylfaen" w:hAnsi="Sylfaen"/>
                <w:bCs/>
                <w:lang w:val="en-GB"/>
              </w:rPr>
              <w:t>15-16</w:t>
            </w:r>
          </w:p>
        </w:tc>
        <w:tc>
          <w:tcPr>
            <w:tcW w:w="1418" w:type="dxa"/>
            <w:vMerge w:val="restart"/>
            <w:shd w:val="clear" w:color="auto" w:fill="F6F9FC"/>
          </w:tcPr>
          <w:p w14:paraId="6EC52E0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08/12/2025</w:t>
            </w:r>
          </w:p>
        </w:tc>
        <w:tc>
          <w:tcPr>
            <w:tcW w:w="1530" w:type="dxa"/>
            <w:vMerge w:val="restart"/>
            <w:shd w:val="clear" w:color="auto" w:fill="DEEAF6"/>
          </w:tcPr>
          <w:p w14:paraId="1D8344CB"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79931CCB" w14:textId="77777777" w:rsidTr="002873E8">
        <w:trPr>
          <w:trHeight w:val="309"/>
        </w:trPr>
        <w:tc>
          <w:tcPr>
            <w:tcW w:w="3369" w:type="dxa"/>
            <w:vMerge/>
            <w:shd w:val="clear" w:color="auto" w:fill="F6F9FC"/>
          </w:tcPr>
          <w:p w14:paraId="3438E560"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05C47044"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5C1392C1" w14:textId="77777777" w:rsidR="00FA35DE" w:rsidRPr="00FA35DE" w:rsidRDefault="00FA35DE" w:rsidP="00FA35DE">
            <w:pPr>
              <w:jc w:val="both"/>
              <w:rPr>
                <w:rFonts w:ascii="Sylfaen" w:hAnsi="Sylfaen"/>
                <w:bCs/>
                <w:lang w:val="en-GB"/>
              </w:rPr>
            </w:pPr>
          </w:p>
        </w:tc>
        <w:tc>
          <w:tcPr>
            <w:tcW w:w="1418" w:type="dxa"/>
            <w:vMerge/>
            <w:shd w:val="clear" w:color="auto" w:fill="F6F9FC"/>
          </w:tcPr>
          <w:p w14:paraId="75F1DCD6"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5AB1FF11" w14:textId="77777777" w:rsidR="00FA35DE" w:rsidRPr="00FA35DE" w:rsidRDefault="00FA35DE" w:rsidP="00FA35DE">
            <w:pPr>
              <w:jc w:val="both"/>
              <w:rPr>
                <w:rFonts w:ascii="Sylfaen" w:hAnsi="Sylfaen"/>
                <w:bCs/>
                <w:color w:val="767171"/>
                <w:lang w:val="hy-AM"/>
              </w:rPr>
            </w:pPr>
          </w:p>
        </w:tc>
      </w:tr>
      <w:tr w:rsidR="002873E8" w:rsidRPr="00822294" w14:paraId="5C3E0126" w14:textId="77777777" w:rsidTr="002873E8">
        <w:trPr>
          <w:trHeight w:val="173"/>
        </w:trPr>
        <w:tc>
          <w:tcPr>
            <w:tcW w:w="3369" w:type="dxa"/>
            <w:vMerge w:val="restart"/>
            <w:shd w:val="clear" w:color="auto" w:fill="F6F9FC"/>
          </w:tcPr>
          <w:p w14:paraId="1BC48DFC" w14:textId="77777777" w:rsidR="00FA35DE" w:rsidRPr="00FA35DE" w:rsidRDefault="00FA35DE" w:rsidP="00FA35DE">
            <w:pPr>
              <w:jc w:val="both"/>
              <w:rPr>
                <w:rFonts w:ascii="Sylfaen" w:hAnsi="Sylfaen"/>
                <w:bCs/>
                <w:lang w:val="hy-AM"/>
              </w:rPr>
            </w:pPr>
            <w:r w:rsidRPr="00FA35DE">
              <w:rPr>
                <w:rFonts w:ascii="Sylfaen" w:hAnsi="Sylfaen"/>
                <w:lang w:val="en-GB"/>
              </w:rPr>
              <w:t>Environmental Health</w:t>
            </w:r>
          </w:p>
        </w:tc>
        <w:tc>
          <w:tcPr>
            <w:tcW w:w="3118" w:type="dxa"/>
            <w:shd w:val="clear" w:color="auto" w:fill="DBE5F1" w:themeFill="accent1" w:themeFillTint="33"/>
          </w:tcPr>
          <w:p w14:paraId="5E87C84C"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1A1BFDF4" w14:textId="77777777" w:rsidR="00FA35DE" w:rsidRPr="00FA35DE" w:rsidRDefault="00FA35DE" w:rsidP="00FA35DE">
            <w:pPr>
              <w:jc w:val="both"/>
              <w:rPr>
                <w:rFonts w:ascii="Sylfaen" w:hAnsi="Sylfaen"/>
                <w:bCs/>
                <w:lang w:val="en-GB"/>
              </w:rPr>
            </w:pPr>
            <w:r w:rsidRPr="00FA35DE">
              <w:rPr>
                <w:rFonts w:ascii="Sylfaen" w:hAnsi="Sylfaen"/>
                <w:bCs/>
                <w:lang w:val="en-GB"/>
              </w:rPr>
              <w:t>17-19</w:t>
            </w:r>
          </w:p>
        </w:tc>
        <w:tc>
          <w:tcPr>
            <w:tcW w:w="1418" w:type="dxa"/>
            <w:vMerge w:val="restart"/>
            <w:shd w:val="clear" w:color="auto" w:fill="F6F9FC"/>
          </w:tcPr>
          <w:p w14:paraId="3EEA3429"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22/12/2025</w:t>
            </w:r>
          </w:p>
        </w:tc>
        <w:tc>
          <w:tcPr>
            <w:tcW w:w="1530" w:type="dxa"/>
            <w:vMerge w:val="restart"/>
            <w:shd w:val="clear" w:color="auto" w:fill="DEEAF6"/>
          </w:tcPr>
          <w:p w14:paraId="39DFDD6A"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58EFB528" w14:textId="77777777" w:rsidTr="002873E8">
        <w:trPr>
          <w:trHeight w:val="369"/>
        </w:trPr>
        <w:tc>
          <w:tcPr>
            <w:tcW w:w="3369" w:type="dxa"/>
            <w:vMerge/>
            <w:shd w:val="clear" w:color="auto" w:fill="F6F9FC"/>
          </w:tcPr>
          <w:p w14:paraId="51BF003F"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27794AE1"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733A52FB" w14:textId="77777777" w:rsidR="00FA35DE" w:rsidRPr="00FA35DE" w:rsidRDefault="00FA35DE" w:rsidP="00FA35DE">
            <w:pPr>
              <w:jc w:val="both"/>
              <w:rPr>
                <w:rFonts w:ascii="Sylfaen" w:hAnsi="Sylfaen"/>
                <w:bCs/>
                <w:lang w:val="en-GB"/>
              </w:rPr>
            </w:pPr>
          </w:p>
        </w:tc>
        <w:tc>
          <w:tcPr>
            <w:tcW w:w="1418" w:type="dxa"/>
            <w:vMerge/>
            <w:shd w:val="clear" w:color="auto" w:fill="F6F9FC"/>
          </w:tcPr>
          <w:p w14:paraId="1F8E5EB2"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33D3A1B7" w14:textId="77777777" w:rsidR="00FA35DE" w:rsidRPr="00FA35DE" w:rsidRDefault="00FA35DE" w:rsidP="00FA35DE">
            <w:pPr>
              <w:jc w:val="both"/>
              <w:rPr>
                <w:rFonts w:ascii="Sylfaen" w:hAnsi="Sylfaen"/>
                <w:bCs/>
                <w:color w:val="767171"/>
                <w:lang w:val="hy-AM"/>
              </w:rPr>
            </w:pPr>
          </w:p>
        </w:tc>
      </w:tr>
      <w:tr w:rsidR="00FA35DE" w:rsidRPr="00ED06FB" w14:paraId="177A44ED" w14:textId="77777777" w:rsidTr="00FA35DE">
        <w:trPr>
          <w:trHeight w:val="172"/>
        </w:trPr>
        <w:tc>
          <w:tcPr>
            <w:tcW w:w="11023" w:type="dxa"/>
            <w:gridSpan w:val="5"/>
            <w:shd w:val="clear" w:color="auto" w:fill="B6DDE8" w:themeFill="accent5" w:themeFillTint="66"/>
          </w:tcPr>
          <w:p w14:paraId="7F05AAE6" w14:textId="77777777" w:rsidR="00FA35DE" w:rsidRPr="00FA35DE" w:rsidRDefault="00FA35DE" w:rsidP="00FA35DE">
            <w:pPr>
              <w:jc w:val="center"/>
              <w:rPr>
                <w:rFonts w:ascii="Sylfaen" w:hAnsi="Sylfaen"/>
                <w:bCs/>
                <w:color w:val="767171"/>
                <w:lang w:val="hy-AM"/>
              </w:rPr>
            </w:pPr>
            <w:r w:rsidRPr="00FA35DE">
              <w:rPr>
                <w:rFonts w:ascii="Sylfaen" w:hAnsi="Sylfaen"/>
                <w:bCs/>
                <w:lang w:val="en-GB"/>
              </w:rPr>
              <w:t>New Year Holiday - Teaching Week 18, Week starting 29</w:t>
            </w:r>
            <w:r w:rsidRPr="00FA35DE">
              <w:rPr>
                <w:rFonts w:ascii="Sylfaen" w:hAnsi="Sylfaen"/>
                <w:bCs/>
                <w:lang w:val="hy-AM"/>
              </w:rPr>
              <w:t>/12 202</w:t>
            </w:r>
            <w:r w:rsidRPr="00FA35DE">
              <w:rPr>
                <w:rFonts w:ascii="Sylfaen" w:hAnsi="Sylfaen"/>
                <w:bCs/>
                <w:lang w:val="en-GB"/>
              </w:rPr>
              <w:t>5</w:t>
            </w:r>
          </w:p>
        </w:tc>
      </w:tr>
      <w:tr w:rsidR="002873E8" w:rsidRPr="00822294" w14:paraId="21E96DDE" w14:textId="77777777" w:rsidTr="002873E8">
        <w:trPr>
          <w:trHeight w:val="173"/>
        </w:trPr>
        <w:tc>
          <w:tcPr>
            <w:tcW w:w="3369" w:type="dxa"/>
            <w:vMerge w:val="restart"/>
            <w:shd w:val="clear" w:color="auto" w:fill="F6F9FC"/>
          </w:tcPr>
          <w:p w14:paraId="48B2E5E1" w14:textId="77777777" w:rsidR="00FA35DE" w:rsidRPr="00FA35DE" w:rsidRDefault="00FA35DE" w:rsidP="00FA35DE">
            <w:pPr>
              <w:jc w:val="both"/>
              <w:rPr>
                <w:rFonts w:ascii="Sylfaen" w:hAnsi="Sylfaen"/>
                <w:bCs/>
                <w:lang w:val="hy-AM"/>
              </w:rPr>
            </w:pPr>
            <w:r w:rsidRPr="00FA35DE">
              <w:rPr>
                <w:rFonts w:ascii="Sylfaen" w:hAnsi="Sylfaen"/>
                <w:lang w:val="en-GB"/>
              </w:rPr>
              <w:t>Health Care Management</w:t>
            </w:r>
          </w:p>
        </w:tc>
        <w:tc>
          <w:tcPr>
            <w:tcW w:w="3118" w:type="dxa"/>
            <w:shd w:val="clear" w:color="auto" w:fill="DBE5F1" w:themeFill="accent1" w:themeFillTint="33"/>
          </w:tcPr>
          <w:p w14:paraId="1229C1E8"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67009A99" w14:textId="77777777" w:rsidR="00FA35DE" w:rsidRPr="00FA35DE" w:rsidRDefault="00FA35DE" w:rsidP="00FA35DE">
            <w:pPr>
              <w:jc w:val="both"/>
              <w:rPr>
                <w:rFonts w:ascii="Sylfaen" w:hAnsi="Sylfaen"/>
                <w:bCs/>
                <w:lang w:val="en-GB"/>
              </w:rPr>
            </w:pPr>
            <w:r w:rsidRPr="00FA35DE">
              <w:rPr>
                <w:rFonts w:ascii="Sylfaen" w:hAnsi="Sylfaen"/>
                <w:bCs/>
                <w:lang w:val="en-GB"/>
              </w:rPr>
              <w:t>20-21</w:t>
            </w:r>
          </w:p>
        </w:tc>
        <w:tc>
          <w:tcPr>
            <w:tcW w:w="1418" w:type="dxa"/>
            <w:vMerge w:val="restart"/>
            <w:shd w:val="clear" w:color="auto" w:fill="F6F9FC"/>
          </w:tcPr>
          <w:p w14:paraId="1D37DE10" w14:textId="77777777" w:rsidR="00FA35DE" w:rsidRPr="00FA35DE" w:rsidRDefault="00FA35DE" w:rsidP="00FA35DE">
            <w:pPr>
              <w:jc w:val="both"/>
              <w:rPr>
                <w:rFonts w:ascii="Sylfaen" w:hAnsi="Sylfaen"/>
                <w:bCs/>
                <w:lang w:val="en-GB"/>
              </w:rPr>
            </w:pPr>
            <w:r w:rsidRPr="00FA35DE">
              <w:rPr>
                <w:rFonts w:ascii="Sylfaen" w:hAnsi="Sylfaen"/>
                <w:bCs/>
                <w:lang w:val="en-GB"/>
              </w:rPr>
              <w:t>12/1/2026</w:t>
            </w:r>
          </w:p>
          <w:p w14:paraId="034ED6AB" w14:textId="77777777" w:rsidR="00FA35DE" w:rsidRPr="00FA35DE" w:rsidRDefault="00FA35DE" w:rsidP="00FA35DE">
            <w:pPr>
              <w:jc w:val="both"/>
              <w:rPr>
                <w:rFonts w:ascii="Sylfaen" w:hAnsi="Sylfaen"/>
                <w:bCs/>
                <w:color w:val="767171"/>
                <w:lang w:val="hy-AM"/>
              </w:rPr>
            </w:pPr>
          </w:p>
        </w:tc>
        <w:tc>
          <w:tcPr>
            <w:tcW w:w="1530" w:type="dxa"/>
            <w:vMerge w:val="restart"/>
            <w:shd w:val="clear" w:color="auto" w:fill="DEEAF6"/>
          </w:tcPr>
          <w:p w14:paraId="028E2336"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08C7429B" w14:textId="77777777" w:rsidTr="002873E8">
        <w:trPr>
          <w:trHeight w:val="172"/>
        </w:trPr>
        <w:tc>
          <w:tcPr>
            <w:tcW w:w="3369" w:type="dxa"/>
            <w:vMerge/>
            <w:shd w:val="clear" w:color="auto" w:fill="F6F9FC"/>
          </w:tcPr>
          <w:p w14:paraId="13289E4F"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184E0588"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0436FB2A" w14:textId="77777777" w:rsidR="00FA35DE" w:rsidRPr="00FA35DE" w:rsidRDefault="00FA35DE" w:rsidP="00FA35DE">
            <w:pPr>
              <w:jc w:val="both"/>
              <w:rPr>
                <w:rFonts w:ascii="Sylfaen" w:hAnsi="Sylfaen"/>
                <w:bCs/>
                <w:color w:val="767171"/>
                <w:lang w:val="hy-AM"/>
              </w:rPr>
            </w:pPr>
          </w:p>
        </w:tc>
        <w:tc>
          <w:tcPr>
            <w:tcW w:w="1418" w:type="dxa"/>
            <w:vMerge/>
            <w:shd w:val="clear" w:color="auto" w:fill="F6F9FC"/>
          </w:tcPr>
          <w:p w14:paraId="4C4E3C0B"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70625E44" w14:textId="77777777" w:rsidR="00FA35DE" w:rsidRPr="00FA35DE" w:rsidRDefault="00FA35DE" w:rsidP="00FA35DE">
            <w:pPr>
              <w:jc w:val="both"/>
              <w:rPr>
                <w:rFonts w:ascii="Sylfaen" w:hAnsi="Sylfaen"/>
                <w:bCs/>
                <w:color w:val="767171"/>
                <w:lang w:val="hy-AM"/>
              </w:rPr>
            </w:pPr>
          </w:p>
        </w:tc>
      </w:tr>
      <w:tr w:rsidR="00FA35DE" w:rsidRPr="00ED06FB" w14:paraId="080EF8AA" w14:textId="77777777" w:rsidTr="00FA35DE">
        <w:trPr>
          <w:trHeight w:val="140"/>
        </w:trPr>
        <w:tc>
          <w:tcPr>
            <w:tcW w:w="11023" w:type="dxa"/>
            <w:gridSpan w:val="5"/>
            <w:shd w:val="clear" w:color="auto" w:fill="B6DDE8" w:themeFill="accent5" w:themeFillTint="66"/>
          </w:tcPr>
          <w:p w14:paraId="5F52D700" w14:textId="77777777" w:rsidR="00FA35DE" w:rsidRPr="00FA35DE" w:rsidRDefault="00FA35DE" w:rsidP="00FA35DE">
            <w:pPr>
              <w:jc w:val="center"/>
              <w:rPr>
                <w:rFonts w:ascii="Sylfaen" w:hAnsi="Sylfaen"/>
                <w:bCs/>
                <w:lang w:val="en-GB"/>
              </w:rPr>
            </w:pPr>
            <w:r w:rsidRPr="00FA35DE">
              <w:rPr>
                <w:rFonts w:ascii="Sylfaen" w:hAnsi="Sylfaen"/>
                <w:bCs/>
                <w:lang w:val="en-GB"/>
              </w:rPr>
              <w:t>Winter Holiday - Teaching Week 22, Week starting 26/1/2026</w:t>
            </w:r>
          </w:p>
        </w:tc>
      </w:tr>
      <w:tr w:rsidR="00FA35DE" w:rsidRPr="00ED06FB" w14:paraId="0BC59D1C" w14:textId="77777777" w:rsidTr="00FA35DE">
        <w:trPr>
          <w:trHeight w:val="140"/>
        </w:trPr>
        <w:tc>
          <w:tcPr>
            <w:tcW w:w="11023" w:type="dxa"/>
            <w:gridSpan w:val="5"/>
            <w:shd w:val="clear" w:color="auto" w:fill="B6DDE8" w:themeFill="accent5" w:themeFillTint="66"/>
          </w:tcPr>
          <w:p w14:paraId="4166472F" w14:textId="77777777" w:rsidR="00FA35DE" w:rsidRPr="00FA35DE" w:rsidRDefault="00FA35DE" w:rsidP="00FA35DE">
            <w:pPr>
              <w:jc w:val="center"/>
              <w:rPr>
                <w:rFonts w:ascii="Sylfaen" w:hAnsi="Sylfaen"/>
                <w:bCs/>
                <w:lang w:val="en-GB"/>
              </w:rPr>
            </w:pPr>
            <w:r w:rsidRPr="00FA35DE">
              <w:rPr>
                <w:rFonts w:ascii="Sylfaen" w:hAnsi="Sylfaen"/>
                <w:bCs/>
                <w:lang w:val="en-GB"/>
              </w:rPr>
              <w:t>First re-sit Session, Teaching Week 22-23, Week starting 26/1/2026</w:t>
            </w:r>
          </w:p>
        </w:tc>
      </w:tr>
      <w:tr w:rsidR="00FA35DE" w:rsidRPr="00ED06FB" w14:paraId="39779B0B" w14:textId="77777777" w:rsidTr="00FA35DE">
        <w:trPr>
          <w:trHeight w:val="140"/>
        </w:trPr>
        <w:tc>
          <w:tcPr>
            <w:tcW w:w="11023" w:type="dxa"/>
            <w:gridSpan w:val="5"/>
            <w:shd w:val="clear" w:color="auto" w:fill="B6DDE8" w:themeFill="accent5" w:themeFillTint="66"/>
          </w:tcPr>
          <w:p w14:paraId="3728F624" w14:textId="77777777" w:rsidR="00FA35DE" w:rsidRPr="00FA35DE" w:rsidRDefault="00FA35DE" w:rsidP="00FA35DE">
            <w:pPr>
              <w:jc w:val="center"/>
              <w:rPr>
                <w:rFonts w:ascii="Sylfaen" w:hAnsi="Sylfaen"/>
                <w:bCs/>
                <w:lang w:val="en-GB"/>
              </w:rPr>
            </w:pPr>
            <w:r w:rsidRPr="00FA35DE">
              <w:rPr>
                <w:rFonts w:ascii="Sylfaen" w:hAnsi="Sylfaen"/>
                <w:bCs/>
                <w:lang w:val="en-GB"/>
              </w:rPr>
              <w:t>Second re-sit Session, Teaching Week 24-25, Week starting 09/2/2026</w:t>
            </w:r>
          </w:p>
        </w:tc>
      </w:tr>
      <w:tr w:rsidR="00FA35DE" w:rsidRPr="00ED06FB" w14:paraId="290CE91F" w14:textId="77777777" w:rsidTr="00FA35DE">
        <w:trPr>
          <w:trHeight w:val="439"/>
        </w:trPr>
        <w:tc>
          <w:tcPr>
            <w:tcW w:w="11023" w:type="dxa"/>
            <w:gridSpan w:val="5"/>
            <w:shd w:val="clear" w:color="auto" w:fill="C6D9F1" w:themeFill="text2" w:themeFillTint="33"/>
          </w:tcPr>
          <w:p w14:paraId="3C83D847" w14:textId="77777777" w:rsidR="00FA35DE" w:rsidRPr="00FA35DE" w:rsidRDefault="00FA35DE" w:rsidP="00FA35DE">
            <w:pPr>
              <w:jc w:val="center"/>
              <w:rPr>
                <w:rFonts w:ascii="Sylfaen" w:hAnsi="Sylfaen"/>
                <w:b/>
                <w:bCs/>
                <w:lang w:val="en-GB"/>
              </w:rPr>
            </w:pPr>
            <w:r w:rsidRPr="00FA35DE">
              <w:rPr>
                <w:rFonts w:ascii="Sylfaen" w:hAnsi="Sylfaen"/>
                <w:b/>
                <w:lang w:val="en-GB"/>
              </w:rPr>
              <w:t>Year I, Semester 2 (Spring),</w:t>
            </w:r>
            <w:r w:rsidRPr="00FA35DE">
              <w:rPr>
                <w:rFonts w:ascii="Sylfaen" w:hAnsi="Sylfaen"/>
                <w:b/>
                <w:bCs/>
                <w:color w:val="767171"/>
                <w:lang w:val="en-GB"/>
              </w:rPr>
              <w:t xml:space="preserve"> </w:t>
            </w:r>
            <w:r w:rsidRPr="00FA35DE">
              <w:rPr>
                <w:rFonts w:ascii="Sylfaen" w:hAnsi="Sylfaen"/>
                <w:b/>
                <w:lang w:val="en-GB"/>
              </w:rPr>
              <w:t>February – Mid-</w:t>
            </w:r>
            <w:r w:rsidRPr="00FA35DE">
              <w:rPr>
                <w:rFonts w:ascii="Sylfaen" w:hAnsi="Sylfaen"/>
                <w:b/>
                <w:bCs/>
                <w:lang w:val="en-GB"/>
              </w:rPr>
              <w:t>June 2026</w:t>
            </w:r>
          </w:p>
        </w:tc>
      </w:tr>
      <w:bookmarkEnd w:id="22"/>
      <w:tr w:rsidR="00FA35DE" w:rsidRPr="00822294" w14:paraId="26E3EBAE" w14:textId="77777777" w:rsidTr="00FA35DE">
        <w:trPr>
          <w:trHeight w:val="502"/>
        </w:trPr>
        <w:tc>
          <w:tcPr>
            <w:tcW w:w="3369" w:type="dxa"/>
            <w:shd w:val="clear" w:color="auto" w:fill="C6D9F1" w:themeFill="text2" w:themeFillTint="33"/>
          </w:tcPr>
          <w:p w14:paraId="6F580F1E" w14:textId="77777777" w:rsidR="00FA35DE" w:rsidRPr="00FA35DE" w:rsidRDefault="00FA35DE" w:rsidP="00FA35DE">
            <w:pPr>
              <w:jc w:val="center"/>
              <w:rPr>
                <w:rFonts w:ascii="Sylfaen" w:hAnsi="Sylfaen"/>
                <w:b/>
                <w:lang w:val="en-GB"/>
              </w:rPr>
            </w:pPr>
            <w:r w:rsidRPr="00FA35DE">
              <w:rPr>
                <w:rFonts w:ascii="Sylfaen" w:hAnsi="Sylfaen"/>
                <w:b/>
                <w:lang w:val="en-GB"/>
              </w:rPr>
              <w:t>Module</w:t>
            </w:r>
          </w:p>
        </w:tc>
        <w:tc>
          <w:tcPr>
            <w:tcW w:w="3118" w:type="dxa"/>
            <w:shd w:val="clear" w:color="auto" w:fill="C6D9F1" w:themeFill="text2" w:themeFillTint="33"/>
          </w:tcPr>
          <w:p w14:paraId="2048EF55" w14:textId="6D51DD18" w:rsidR="00FA35DE" w:rsidRPr="00FA35DE" w:rsidRDefault="00FA35DE" w:rsidP="00FA35DE">
            <w:pPr>
              <w:jc w:val="center"/>
              <w:rPr>
                <w:rFonts w:ascii="Sylfaen" w:hAnsi="Sylfaen"/>
                <w:b/>
                <w:lang w:val="en-GB"/>
              </w:rPr>
            </w:pPr>
            <w:r w:rsidRPr="00FA35DE">
              <w:rPr>
                <w:rFonts w:ascii="Sylfaen" w:hAnsi="Sylfaen"/>
                <w:b/>
                <w:lang w:val="en-GB"/>
              </w:rPr>
              <w:t>Shift</w:t>
            </w:r>
          </w:p>
        </w:tc>
        <w:tc>
          <w:tcPr>
            <w:tcW w:w="1588" w:type="dxa"/>
            <w:shd w:val="clear" w:color="auto" w:fill="C6D9F1" w:themeFill="text2" w:themeFillTint="33"/>
          </w:tcPr>
          <w:p w14:paraId="2912460E" w14:textId="77777777" w:rsidR="00FA35DE" w:rsidRPr="00FA35DE" w:rsidRDefault="00FA35DE" w:rsidP="00FA35DE">
            <w:pPr>
              <w:jc w:val="center"/>
              <w:rPr>
                <w:rFonts w:ascii="Sylfaen" w:hAnsi="Sylfaen"/>
                <w:b/>
                <w:lang w:val="en-GB"/>
              </w:rPr>
            </w:pPr>
            <w:r w:rsidRPr="00FA35DE">
              <w:rPr>
                <w:rFonts w:ascii="Sylfaen" w:hAnsi="Sylfaen"/>
                <w:b/>
                <w:lang w:val="en-GB"/>
              </w:rPr>
              <w:t>Teaching Week</w:t>
            </w:r>
          </w:p>
        </w:tc>
        <w:tc>
          <w:tcPr>
            <w:tcW w:w="1418" w:type="dxa"/>
            <w:shd w:val="clear" w:color="auto" w:fill="C6D9F1" w:themeFill="text2" w:themeFillTint="33"/>
          </w:tcPr>
          <w:p w14:paraId="3D164713" w14:textId="77777777" w:rsidR="00FA35DE" w:rsidRPr="00FA35DE" w:rsidRDefault="00FA35DE" w:rsidP="00FA35DE">
            <w:pPr>
              <w:jc w:val="center"/>
              <w:rPr>
                <w:rFonts w:ascii="Sylfaen" w:hAnsi="Sylfaen"/>
                <w:b/>
                <w:lang w:val="en-GB"/>
              </w:rPr>
            </w:pPr>
            <w:r w:rsidRPr="00FA35DE">
              <w:rPr>
                <w:rFonts w:ascii="Sylfaen" w:hAnsi="Sylfaen"/>
                <w:b/>
                <w:lang w:val="en-GB"/>
              </w:rPr>
              <w:t>Week starting</w:t>
            </w:r>
          </w:p>
        </w:tc>
        <w:tc>
          <w:tcPr>
            <w:tcW w:w="1530" w:type="dxa"/>
            <w:shd w:val="clear" w:color="auto" w:fill="C6D9F1" w:themeFill="text2" w:themeFillTint="33"/>
          </w:tcPr>
          <w:p w14:paraId="1AB18264" w14:textId="77777777" w:rsidR="00FA35DE" w:rsidRPr="00FA35DE" w:rsidRDefault="00FA35DE" w:rsidP="00FA35DE">
            <w:pPr>
              <w:jc w:val="center"/>
              <w:rPr>
                <w:rFonts w:ascii="Sylfaen" w:hAnsi="Sylfaen"/>
                <w:b/>
                <w:lang w:val="en-GB"/>
              </w:rPr>
            </w:pPr>
            <w:r w:rsidRPr="00FA35DE">
              <w:rPr>
                <w:rFonts w:ascii="Sylfaen" w:hAnsi="Sylfaen"/>
                <w:b/>
                <w:lang w:val="en-GB"/>
              </w:rPr>
              <w:t>Class days</w:t>
            </w:r>
          </w:p>
        </w:tc>
      </w:tr>
      <w:tr w:rsidR="002873E8" w:rsidRPr="00822294" w14:paraId="4B190139" w14:textId="77777777" w:rsidTr="002873E8">
        <w:trPr>
          <w:trHeight w:val="983"/>
        </w:trPr>
        <w:tc>
          <w:tcPr>
            <w:tcW w:w="3369" w:type="dxa"/>
            <w:shd w:val="clear" w:color="auto" w:fill="F6F9FC"/>
          </w:tcPr>
          <w:p w14:paraId="10D53247"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Individual Thesis Supervision </w:t>
            </w:r>
          </w:p>
        </w:tc>
        <w:tc>
          <w:tcPr>
            <w:tcW w:w="3118" w:type="dxa"/>
            <w:shd w:val="clear" w:color="auto" w:fill="DBE5F1" w:themeFill="accent1" w:themeFillTint="33"/>
          </w:tcPr>
          <w:p w14:paraId="5DF68CE2" w14:textId="77777777" w:rsidR="00FA35DE" w:rsidRPr="00FA35DE" w:rsidRDefault="00FA35DE" w:rsidP="00FA35DE">
            <w:pPr>
              <w:jc w:val="both"/>
              <w:rPr>
                <w:rFonts w:ascii="Sylfaen" w:hAnsi="Sylfaen"/>
                <w:bCs/>
                <w:lang w:val="en-GB"/>
              </w:rPr>
            </w:pPr>
            <w:r w:rsidRPr="00FA35DE">
              <w:rPr>
                <w:rFonts w:ascii="Sylfaen" w:hAnsi="Sylfaen"/>
                <w:bCs/>
                <w:lang w:val="en-GB"/>
              </w:rPr>
              <w:t>Individual meetings with thesis supervisor</w:t>
            </w:r>
          </w:p>
        </w:tc>
        <w:tc>
          <w:tcPr>
            <w:tcW w:w="1588" w:type="dxa"/>
            <w:shd w:val="clear" w:color="auto" w:fill="DAEEF3" w:themeFill="accent5" w:themeFillTint="33"/>
          </w:tcPr>
          <w:p w14:paraId="568791B1" w14:textId="77777777" w:rsidR="00FA35DE" w:rsidRPr="00FA35DE" w:rsidRDefault="00FA35DE" w:rsidP="00FA35DE">
            <w:pPr>
              <w:jc w:val="both"/>
              <w:rPr>
                <w:rFonts w:ascii="Sylfaen" w:hAnsi="Sylfaen"/>
                <w:bCs/>
                <w:lang w:val="en-GB"/>
              </w:rPr>
            </w:pPr>
            <w:r w:rsidRPr="00FA35DE">
              <w:rPr>
                <w:rFonts w:ascii="Sylfaen" w:hAnsi="Sylfaen"/>
                <w:bCs/>
                <w:lang w:val="en-GB"/>
              </w:rPr>
              <w:t>23-42 Longitudinal, concurrent</w:t>
            </w:r>
          </w:p>
        </w:tc>
        <w:tc>
          <w:tcPr>
            <w:tcW w:w="1418" w:type="dxa"/>
            <w:shd w:val="clear" w:color="auto" w:fill="F6F9FC"/>
          </w:tcPr>
          <w:p w14:paraId="29ED1A1B" w14:textId="77777777" w:rsidR="00FA35DE" w:rsidRPr="00FA35DE" w:rsidRDefault="00FA35DE" w:rsidP="00FA35DE">
            <w:pPr>
              <w:jc w:val="both"/>
              <w:rPr>
                <w:rFonts w:ascii="Sylfaen" w:hAnsi="Sylfaen"/>
                <w:bCs/>
                <w:lang w:val="en-GB"/>
              </w:rPr>
            </w:pPr>
            <w:r w:rsidRPr="00FA35DE">
              <w:rPr>
                <w:rFonts w:ascii="Sylfaen" w:hAnsi="Sylfaen"/>
                <w:bCs/>
                <w:lang w:val="en-GB"/>
              </w:rPr>
              <w:t>02/2/2026</w:t>
            </w:r>
          </w:p>
        </w:tc>
        <w:tc>
          <w:tcPr>
            <w:tcW w:w="1530" w:type="dxa"/>
            <w:shd w:val="clear" w:color="auto" w:fill="DAEEF3" w:themeFill="accent5" w:themeFillTint="33"/>
          </w:tcPr>
          <w:p w14:paraId="080F3961" w14:textId="77777777" w:rsidR="00FA35DE" w:rsidRPr="00FA35DE" w:rsidRDefault="00FA35DE" w:rsidP="00FA35DE">
            <w:pPr>
              <w:jc w:val="both"/>
              <w:rPr>
                <w:rFonts w:ascii="Sylfaen" w:hAnsi="Sylfaen"/>
                <w:bCs/>
                <w:lang w:val="en-GB"/>
              </w:rPr>
            </w:pPr>
            <w:r w:rsidRPr="00FA35DE">
              <w:rPr>
                <w:rFonts w:ascii="Sylfaen" w:hAnsi="Sylfaen"/>
                <w:bCs/>
                <w:lang w:val="en-GB"/>
              </w:rPr>
              <w:t>Scheduled by supervisors</w:t>
            </w:r>
          </w:p>
        </w:tc>
      </w:tr>
      <w:tr w:rsidR="002873E8" w:rsidRPr="00822294" w14:paraId="11C04D81" w14:textId="77777777" w:rsidTr="002873E8">
        <w:trPr>
          <w:trHeight w:val="420"/>
        </w:trPr>
        <w:tc>
          <w:tcPr>
            <w:tcW w:w="3369" w:type="dxa"/>
            <w:vMerge w:val="restart"/>
            <w:shd w:val="clear" w:color="auto" w:fill="F6F9FC"/>
          </w:tcPr>
          <w:p w14:paraId="1950D062" w14:textId="77777777" w:rsidR="00FA35DE" w:rsidRPr="00FA35DE" w:rsidRDefault="00FA35DE" w:rsidP="00FA35DE">
            <w:pPr>
              <w:jc w:val="both"/>
              <w:rPr>
                <w:rFonts w:ascii="Sylfaen" w:hAnsi="Sylfaen"/>
                <w:bCs/>
                <w:lang w:val="en-GB"/>
              </w:rPr>
            </w:pPr>
            <w:r w:rsidRPr="00FA35DE">
              <w:rPr>
                <w:rFonts w:ascii="Sylfaen" w:hAnsi="Sylfaen"/>
                <w:bCs/>
                <w:lang w:val="en-GB"/>
              </w:rPr>
              <w:lastRenderedPageBreak/>
              <w:t>Biostatistics II</w:t>
            </w:r>
          </w:p>
        </w:tc>
        <w:tc>
          <w:tcPr>
            <w:tcW w:w="3118" w:type="dxa"/>
            <w:shd w:val="clear" w:color="auto" w:fill="DBE5F1" w:themeFill="accent1" w:themeFillTint="33"/>
          </w:tcPr>
          <w:p w14:paraId="4C570FED" w14:textId="77777777" w:rsidR="00FA35DE" w:rsidRPr="00FA35DE" w:rsidRDefault="00FA35DE" w:rsidP="00FA35DE">
            <w:pPr>
              <w:rPr>
                <w:rFonts w:ascii="Sylfaen" w:hAnsi="Sylfaen"/>
                <w:bCs/>
                <w:lang w:val="en-GB"/>
              </w:rPr>
            </w:pPr>
            <w:r w:rsidRPr="00FA35DE">
              <w:rPr>
                <w:rFonts w:ascii="Sylfaen" w:hAnsi="Sylfaen"/>
                <w:bCs/>
                <w:shd w:val="clear" w:color="auto" w:fill="DAEEF3" w:themeFill="accent5" w:themeFillTint="33"/>
                <w:lang w:val="en-GB"/>
              </w:rPr>
              <w:t>Morning shift 9.00</w:t>
            </w:r>
            <w:r w:rsidRPr="00FA35DE">
              <w:rPr>
                <w:rFonts w:ascii="Sylfaen" w:hAnsi="Sylfaen"/>
                <w:bCs/>
                <w:lang w:val="en-GB"/>
              </w:rPr>
              <w:t>-14.00</w:t>
            </w:r>
          </w:p>
          <w:p w14:paraId="430AC626" w14:textId="77777777" w:rsidR="00FA35DE" w:rsidRPr="00FA35DE" w:rsidRDefault="00FA35DE" w:rsidP="00FA35DE">
            <w:pPr>
              <w:rPr>
                <w:rFonts w:ascii="Sylfaen" w:hAnsi="Sylfaen"/>
                <w:bCs/>
                <w:lang w:val="en-GB"/>
              </w:rPr>
            </w:pPr>
          </w:p>
        </w:tc>
        <w:tc>
          <w:tcPr>
            <w:tcW w:w="1588" w:type="dxa"/>
            <w:vMerge w:val="restart"/>
            <w:shd w:val="clear" w:color="auto" w:fill="DAEEF3" w:themeFill="accent5" w:themeFillTint="33"/>
          </w:tcPr>
          <w:p w14:paraId="0F606B7C" w14:textId="77777777" w:rsidR="00FA35DE" w:rsidRPr="00FA35DE" w:rsidRDefault="00FA35DE" w:rsidP="00FA35DE">
            <w:pPr>
              <w:jc w:val="both"/>
              <w:rPr>
                <w:rFonts w:ascii="Sylfaen" w:hAnsi="Sylfaen"/>
                <w:bCs/>
                <w:lang w:val="en-GB"/>
              </w:rPr>
            </w:pPr>
            <w:r w:rsidRPr="00FA35DE">
              <w:rPr>
                <w:rFonts w:ascii="Sylfaen" w:hAnsi="Sylfaen"/>
                <w:bCs/>
                <w:lang w:val="en-GB"/>
              </w:rPr>
              <w:t>23-24</w:t>
            </w:r>
          </w:p>
        </w:tc>
        <w:tc>
          <w:tcPr>
            <w:tcW w:w="1418" w:type="dxa"/>
            <w:vMerge w:val="restart"/>
            <w:shd w:val="clear" w:color="auto" w:fill="F6F9FC"/>
          </w:tcPr>
          <w:p w14:paraId="0108390F" w14:textId="77777777" w:rsidR="00FA35DE" w:rsidRPr="00FA35DE" w:rsidRDefault="00FA35DE" w:rsidP="00FA35DE">
            <w:pPr>
              <w:jc w:val="both"/>
              <w:rPr>
                <w:rFonts w:ascii="Sylfaen" w:hAnsi="Sylfaen"/>
                <w:bCs/>
                <w:lang w:val="en-GB"/>
              </w:rPr>
            </w:pPr>
            <w:r w:rsidRPr="00FA35DE">
              <w:rPr>
                <w:rFonts w:ascii="Sylfaen" w:hAnsi="Sylfaen"/>
                <w:bCs/>
                <w:lang w:val="en-GB"/>
              </w:rPr>
              <w:t>02/2/2026</w:t>
            </w:r>
          </w:p>
        </w:tc>
        <w:tc>
          <w:tcPr>
            <w:tcW w:w="1530" w:type="dxa"/>
            <w:vMerge w:val="restart"/>
            <w:shd w:val="clear" w:color="auto" w:fill="DEEAF6"/>
          </w:tcPr>
          <w:p w14:paraId="3381B317" w14:textId="77777777" w:rsidR="00FA35DE" w:rsidRPr="00FA35DE" w:rsidRDefault="00FA35DE" w:rsidP="00FA35DE">
            <w:pPr>
              <w:jc w:val="both"/>
              <w:rPr>
                <w:rFonts w:ascii="Sylfaen" w:hAnsi="Sylfaen"/>
                <w:bCs/>
                <w:lang w:val="en-GB"/>
              </w:rPr>
            </w:pPr>
            <w:r w:rsidRPr="00FA35DE">
              <w:rPr>
                <w:rFonts w:ascii="Sylfaen" w:hAnsi="Sylfaen"/>
                <w:bCs/>
                <w:lang w:val="en-GB"/>
              </w:rPr>
              <w:t>Monday- Friday</w:t>
            </w:r>
          </w:p>
        </w:tc>
      </w:tr>
      <w:tr w:rsidR="002873E8" w:rsidRPr="00822294" w14:paraId="1B5A2A69" w14:textId="77777777" w:rsidTr="002873E8">
        <w:trPr>
          <w:trHeight w:val="420"/>
        </w:trPr>
        <w:tc>
          <w:tcPr>
            <w:tcW w:w="3369" w:type="dxa"/>
            <w:vMerge/>
            <w:shd w:val="clear" w:color="auto" w:fill="F6F9FC"/>
          </w:tcPr>
          <w:p w14:paraId="196A0C2B"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14619598"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7EB49A61" w14:textId="77777777" w:rsidR="00FA35DE" w:rsidRPr="00FA35DE" w:rsidRDefault="00FA35DE" w:rsidP="00FA35DE">
            <w:pPr>
              <w:jc w:val="both"/>
              <w:rPr>
                <w:rFonts w:ascii="Sylfaen" w:hAnsi="Sylfaen"/>
                <w:bCs/>
                <w:lang w:val="en-GB"/>
              </w:rPr>
            </w:pPr>
          </w:p>
        </w:tc>
        <w:tc>
          <w:tcPr>
            <w:tcW w:w="1418" w:type="dxa"/>
            <w:vMerge/>
            <w:shd w:val="clear" w:color="auto" w:fill="F6F9FC"/>
          </w:tcPr>
          <w:p w14:paraId="71937F9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4292F8A8" w14:textId="77777777" w:rsidR="00FA35DE" w:rsidRPr="00FA35DE" w:rsidRDefault="00FA35DE" w:rsidP="00FA35DE">
            <w:pPr>
              <w:jc w:val="both"/>
              <w:rPr>
                <w:rFonts w:ascii="Sylfaen" w:hAnsi="Sylfaen"/>
                <w:bCs/>
                <w:lang w:val="en-GB"/>
              </w:rPr>
            </w:pPr>
          </w:p>
        </w:tc>
      </w:tr>
      <w:tr w:rsidR="002873E8" w:rsidRPr="00822294" w14:paraId="5C582403" w14:textId="77777777" w:rsidTr="002873E8">
        <w:trPr>
          <w:trHeight w:val="390"/>
        </w:trPr>
        <w:tc>
          <w:tcPr>
            <w:tcW w:w="3369" w:type="dxa"/>
            <w:vMerge w:val="restart"/>
            <w:shd w:val="clear" w:color="auto" w:fill="F6F9FC"/>
          </w:tcPr>
          <w:p w14:paraId="6D19CEC4" w14:textId="77777777" w:rsidR="00FA35DE" w:rsidRPr="00FA35DE" w:rsidRDefault="00FA35DE" w:rsidP="00FA35DE">
            <w:pPr>
              <w:jc w:val="both"/>
              <w:rPr>
                <w:rFonts w:ascii="Sylfaen" w:hAnsi="Sylfaen"/>
                <w:bCs/>
                <w:lang w:val="en-GB"/>
              </w:rPr>
            </w:pPr>
            <w:r w:rsidRPr="00FA35DE">
              <w:rPr>
                <w:rFonts w:ascii="Sylfaen" w:hAnsi="Sylfaen"/>
                <w:lang w:val="en-GB"/>
              </w:rPr>
              <w:t>Epidemiology II</w:t>
            </w:r>
            <w:r w:rsidRPr="00FA35DE">
              <w:rPr>
                <w:rFonts w:ascii="Sylfaen" w:hAnsi="Sylfaen"/>
                <w:lang w:val="hy-AM"/>
              </w:rPr>
              <w:t xml:space="preserve"> </w:t>
            </w:r>
          </w:p>
        </w:tc>
        <w:tc>
          <w:tcPr>
            <w:tcW w:w="3118" w:type="dxa"/>
            <w:shd w:val="clear" w:color="auto" w:fill="DBE5F1" w:themeFill="accent1" w:themeFillTint="33"/>
          </w:tcPr>
          <w:p w14:paraId="121E2021"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28C34D42"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25-26 </w:t>
            </w:r>
          </w:p>
        </w:tc>
        <w:tc>
          <w:tcPr>
            <w:tcW w:w="1418" w:type="dxa"/>
            <w:vMerge w:val="restart"/>
            <w:shd w:val="clear" w:color="auto" w:fill="F6F9FC"/>
          </w:tcPr>
          <w:p w14:paraId="6777AA73" w14:textId="77777777" w:rsidR="00FA35DE" w:rsidRPr="00FA35DE" w:rsidRDefault="00FA35DE" w:rsidP="00FA35DE">
            <w:pPr>
              <w:jc w:val="both"/>
              <w:rPr>
                <w:rFonts w:ascii="Sylfaen" w:hAnsi="Sylfaen"/>
                <w:bCs/>
                <w:lang w:val="en-GB"/>
              </w:rPr>
            </w:pPr>
            <w:r w:rsidRPr="00FA35DE">
              <w:rPr>
                <w:rFonts w:ascii="Sylfaen" w:hAnsi="Sylfaen"/>
                <w:bCs/>
                <w:lang w:val="en-GB"/>
              </w:rPr>
              <w:t>16/2/2026</w:t>
            </w:r>
          </w:p>
        </w:tc>
        <w:tc>
          <w:tcPr>
            <w:tcW w:w="1530" w:type="dxa"/>
            <w:vMerge w:val="restart"/>
            <w:shd w:val="clear" w:color="auto" w:fill="DEEAF6"/>
          </w:tcPr>
          <w:p w14:paraId="74D2F6EF"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2C2EE649" w14:textId="77777777" w:rsidTr="002873E8">
        <w:trPr>
          <w:trHeight w:val="390"/>
        </w:trPr>
        <w:tc>
          <w:tcPr>
            <w:tcW w:w="3369" w:type="dxa"/>
            <w:vMerge/>
            <w:shd w:val="clear" w:color="auto" w:fill="F6F9FC"/>
          </w:tcPr>
          <w:p w14:paraId="3C6A643A"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5893D671"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3A9690EE"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3D42D92C" w14:textId="77777777" w:rsidR="00FA35DE" w:rsidRPr="00FA35DE" w:rsidRDefault="00FA35DE" w:rsidP="00FA35DE">
            <w:pPr>
              <w:jc w:val="both"/>
              <w:rPr>
                <w:rFonts w:ascii="Sylfaen" w:hAnsi="Sylfaen"/>
                <w:bCs/>
                <w:lang w:val="en-GB"/>
              </w:rPr>
            </w:pPr>
          </w:p>
        </w:tc>
        <w:tc>
          <w:tcPr>
            <w:tcW w:w="1418" w:type="dxa"/>
            <w:vMerge/>
            <w:shd w:val="clear" w:color="auto" w:fill="F6F9FC"/>
          </w:tcPr>
          <w:p w14:paraId="4892373D" w14:textId="77777777" w:rsidR="00FA35DE" w:rsidRPr="00FA35DE" w:rsidRDefault="00FA35DE" w:rsidP="00FA35DE">
            <w:pPr>
              <w:jc w:val="both"/>
              <w:rPr>
                <w:rFonts w:ascii="Sylfaen" w:hAnsi="Sylfaen"/>
                <w:bCs/>
                <w:lang w:val="en-GB"/>
              </w:rPr>
            </w:pPr>
          </w:p>
        </w:tc>
        <w:tc>
          <w:tcPr>
            <w:tcW w:w="1530" w:type="dxa"/>
            <w:vMerge/>
            <w:shd w:val="clear" w:color="auto" w:fill="DEEAF6"/>
          </w:tcPr>
          <w:p w14:paraId="2C5DF93A" w14:textId="77777777" w:rsidR="00FA35DE" w:rsidRPr="00FA35DE" w:rsidRDefault="00FA35DE" w:rsidP="00FA35DE">
            <w:pPr>
              <w:jc w:val="both"/>
              <w:rPr>
                <w:rFonts w:ascii="Sylfaen" w:hAnsi="Sylfaen"/>
                <w:bCs/>
                <w:lang w:val="en-GB"/>
              </w:rPr>
            </w:pPr>
          </w:p>
        </w:tc>
      </w:tr>
      <w:tr w:rsidR="002873E8" w:rsidRPr="00822294" w14:paraId="5EABA12C" w14:textId="77777777" w:rsidTr="002873E8">
        <w:trPr>
          <w:trHeight w:val="390"/>
        </w:trPr>
        <w:tc>
          <w:tcPr>
            <w:tcW w:w="3369" w:type="dxa"/>
            <w:vMerge w:val="restart"/>
            <w:shd w:val="clear" w:color="auto" w:fill="F6F9FC"/>
          </w:tcPr>
          <w:p w14:paraId="1E454B8C" w14:textId="77777777" w:rsidR="00FA35DE" w:rsidRPr="00FA35DE" w:rsidRDefault="00FA35DE" w:rsidP="00FA35DE">
            <w:pPr>
              <w:rPr>
                <w:rFonts w:ascii="Sylfaen" w:hAnsi="Sylfaen"/>
                <w:bCs/>
                <w:lang w:val="en-GB"/>
              </w:rPr>
            </w:pPr>
            <w:r w:rsidRPr="00FA35DE">
              <w:rPr>
                <w:rFonts w:ascii="Sylfaen" w:hAnsi="Sylfaen"/>
                <w:lang w:val="en-GB"/>
              </w:rPr>
              <w:t xml:space="preserve">Bioethics </w:t>
            </w:r>
          </w:p>
        </w:tc>
        <w:tc>
          <w:tcPr>
            <w:tcW w:w="3118" w:type="dxa"/>
            <w:shd w:val="clear" w:color="auto" w:fill="DBE5F1" w:themeFill="accent1" w:themeFillTint="33"/>
          </w:tcPr>
          <w:p w14:paraId="63700935"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5C1E1DCE" w14:textId="77777777" w:rsidR="00FA35DE" w:rsidRPr="00FA35DE" w:rsidRDefault="00FA35DE" w:rsidP="00FA35DE">
            <w:pPr>
              <w:jc w:val="both"/>
              <w:rPr>
                <w:rFonts w:ascii="Sylfaen" w:hAnsi="Sylfaen"/>
                <w:bCs/>
                <w:lang w:val="en-GB"/>
              </w:rPr>
            </w:pPr>
            <w:r w:rsidRPr="00FA35DE">
              <w:rPr>
                <w:rFonts w:ascii="Sylfaen" w:hAnsi="Sylfaen"/>
                <w:bCs/>
                <w:lang w:val="en-GB"/>
              </w:rPr>
              <w:t>27-28</w:t>
            </w:r>
          </w:p>
        </w:tc>
        <w:tc>
          <w:tcPr>
            <w:tcW w:w="1418" w:type="dxa"/>
            <w:vMerge w:val="restart"/>
            <w:shd w:val="clear" w:color="auto" w:fill="F6F9FC"/>
          </w:tcPr>
          <w:p w14:paraId="0A6A42BA" w14:textId="77777777" w:rsidR="00FA35DE" w:rsidRPr="00FA35DE" w:rsidRDefault="00FA35DE" w:rsidP="00FA35DE">
            <w:pPr>
              <w:jc w:val="both"/>
              <w:rPr>
                <w:rFonts w:ascii="Sylfaen" w:hAnsi="Sylfaen"/>
                <w:bCs/>
                <w:lang w:val="en-GB"/>
              </w:rPr>
            </w:pPr>
            <w:r w:rsidRPr="00FA35DE">
              <w:rPr>
                <w:rFonts w:ascii="Sylfaen" w:hAnsi="Sylfaen"/>
                <w:bCs/>
                <w:lang w:val="en-GB"/>
              </w:rPr>
              <w:t>02/3/2026</w:t>
            </w:r>
          </w:p>
        </w:tc>
        <w:tc>
          <w:tcPr>
            <w:tcW w:w="1530" w:type="dxa"/>
            <w:vMerge w:val="restart"/>
            <w:shd w:val="clear" w:color="auto" w:fill="DEEAF6"/>
          </w:tcPr>
          <w:p w14:paraId="298E99B6"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2F45209C" w14:textId="77777777" w:rsidTr="002873E8">
        <w:trPr>
          <w:trHeight w:val="390"/>
        </w:trPr>
        <w:tc>
          <w:tcPr>
            <w:tcW w:w="3369" w:type="dxa"/>
            <w:vMerge/>
            <w:shd w:val="clear" w:color="auto" w:fill="F6F9FC"/>
          </w:tcPr>
          <w:p w14:paraId="79530ED1"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026C4F1B"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102376EF"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3B96642D" w14:textId="77777777" w:rsidR="00FA35DE" w:rsidRPr="00FA35DE" w:rsidRDefault="00FA35DE" w:rsidP="00FA35DE">
            <w:pPr>
              <w:jc w:val="both"/>
              <w:rPr>
                <w:rFonts w:ascii="Sylfaen" w:hAnsi="Sylfaen"/>
                <w:bCs/>
                <w:lang w:val="en-GB"/>
              </w:rPr>
            </w:pPr>
          </w:p>
        </w:tc>
        <w:tc>
          <w:tcPr>
            <w:tcW w:w="1418" w:type="dxa"/>
            <w:vMerge/>
            <w:shd w:val="clear" w:color="auto" w:fill="F6F9FC"/>
          </w:tcPr>
          <w:p w14:paraId="138DE96B" w14:textId="77777777" w:rsidR="00FA35DE" w:rsidRPr="00FA35DE" w:rsidRDefault="00FA35DE" w:rsidP="00FA35DE">
            <w:pPr>
              <w:jc w:val="both"/>
              <w:rPr>
                <w:rFonts w:ascii="Sylfaen" w:hAnsi="Sylfaen"/>
                <w:bCs/>
                <w:lang w:val="en-GB"/>
              </w:rPr>
            </w:pPr>
          </w:p>
        </w:tc>
        <w:tc>
          <w:tcPr>
            <w:tcW w:w="1530" w:type="dxa"/>
            <w:vMerge/>
            <w:shd w:val="clear" w:color="auto" w:fill="DEEAF6"/>
          </w:tcPr>
          <w:p w14:paraId="464063E5" w14:textId="77777777" w:rsidR="00FA35DE" w:rsidRPr="00FA35DE" w:rsidRDefault="00FA35DE" w:rsidP="00FA35DE">
            <w:pPr>
              <w:jc w:val="both"/>
              <w:rPr>
                <w:rFonts w:ascii="Sylfaen" w:hAnsi="Sylfaen"/>
                <w:bCs/>
                <w:lang w:val="en-GB"/>
              </w:rPr>
            </w:pPr>
          </w:p>
        </w:tc>
      </w:tr>
      <w:tr w:rsidR="002873E8" w:rsidRPr="00822294" w14:paraId="60D79817" w14:textId="77777777" w:rsidTr="002873E8">
        <w:trPr>
          <w:trHeight w:val="389"/>
        </w:trPr>
        <w:tc>
          <w:tcPr>
            <w:tcW w:w="3369" w:type="dxa"/>
            <w:vMerge w:val="restart"/>
            <w:shd w:val="clear" w:color="auto" w:fill="F6F9FC"/>
          </w:tcPr>
          <w:p w14:paraId="0A00C10A" w14:textId="77777777" w:rsidR="00FA35DE" w:rsidRPr="00FA35DE" w:rsidRDefault="00FA35DE" w:rsidP="00FA35DE">
            <w:pPr>
              <w:rPr>
                <w:rFonts w:ascii="Sylfaen" w:hAnsi="Sylfaen"/>
                <w:bCs/>
                <w:lang w:val="hy-AM"/>
              </w:rPr>
            </w:pPr>
            <w:r w:rsidRPr="00FA35DE">
              <w:rPr>
                <w:rFonts w:ascii="Sylfaen" w:hAnsi="Sylfaen"/>
                <w:lang w:val="en-GB"/>
              </w:rPr>
              <w:t xml:space="preserve">Health Program Planning, Implementation and Evaluation </w:t>
            </w:r>
          </w:p>
        </w:tc>
        <w:tc>
          <w:tcPr>
            <w:tcW w:w="3118" w:type="dxa"/>
            <w:shd w:val="clear" w:color="auto" w:fill="DBE5F1" w:themeFill="accent1" w:themeFillTint="33"/>
          </w:tcPr>
          <w:p w14:paraId="59FA513B"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730B31E7" w14:textId="77777777" w:rsidR="00FA35DE" w:rsidRPr="00FA35DE" w:rsidRDefault="00FA35DE" w:rsidP="00FA35DE">
            <w:pPr>
              <w:jc w:val="both"/>
              <w:rPr>
                <w:rFonts w:ascii="Sylfaen" w:hAnsi="Sylfaen"/>
                <w:bCs/>
                <w:lang w:val="hy-AM"/>
              </w:rPr>
            </w:pPr>
            <w:r w:rsidRPr="00FA35DE">
              <w:rPr>
                <w:rFonts w:ascii="Sylfaen" w:hAnsi="Sylfaen"/>
                <w:bCs/>
                <w:lang w:val="hy-AM"/>
              </w:rPr>
              <w:t>29-30</w:t>
            </w:r>
          </w:p>
        </w:tc>
        <w:tc>
          <w:tcPr>
            <w:tcW w:w="1418" w:type="dxa"/>
            <w:vMerge w:val="restart"/>
            <w:shd w:val="clear" w:color="auto" w:fill="F6F9FC"/>
          </w:tcPr>
          <w:p w14:paraId="0F865339"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16/3/2026</w:t>
            </w:r>
          </w:p>
        </w:tc>
        <w:tc>
          <w:tcPr>
            <w:tcW w:w="1530" w:type="dxa"/>
            <w:vMerge w:val="restart"/>
            <w:shd w:val="clear" w:color="auto" w:fill="DEEAF6"/>
          </w:tcPr>
          <w:p w14:paraId="2F335F31"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3F588F5C" w14:textId="77777777" w:rsidTr="002873E8">
        <w:trPr>
          <w:trHeight w:val="213"/>
        </w:trPr>
        <w:tc>
          <w:tcPr>
            <w:tcW w:w="3369" w:type="dxa"/>
            <w:vMerge/>
            <w:shd w:val="clear" w:color="auto" w:fill="F6F9FC"/>
          </w:tcPr>
          <w:p w14:paraId="49F29A86"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7B1EDD4B"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6A1C858C"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633C3D13" w14:textId="77777777" w:rsidR="00FA35DE" w:rsidRPr="00FA35DE" w:rsidRDefault="00FA35DE" w:rsidP="00FA35DE">
            <w:pPr>
              <w:jc w:val="both"/>
              <w:rPr>
                <w:rFonts w:ascii="Sylfaen" w:hAnsi="Sylfaen"/>
                <w:bCs/>
                <w:lang w:val="hy-AM"/>
              </w:rPr>
            </w:pPr>
          </w:p>
        </w:tc>
        <w:tc>
          <w:tcPr>
            <w:tcW w:w="1418" w:type="dxa"/>
            <w:vMerge/>
            <w:shd w:val="clear" w:color="auto" w:fill="F6F9FC"/>
          </w:tcPr>
          <w:p w14:paraId="18FFED5A"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2D415B4E" w14:textId="77777777" w:rsidR="00FA35DE" w:rsidRPr="00FA35DE" w:rsidRDefault="00FA35DE" w:rsidP="00FA35DE">
            <w:pPr>
              <w:jc w:val="both"/>
              <w:rPr>
                <w:rFonts w:ascii="Sylfaen" w:hAnsi="Sylfaen"/>
                <w:bCs/>
                <w:color w:val="767171"/>
                <w:lang w:val="hy-AM"/>
              </w:rPr>
            </w:pPr>
          </w:p>
        </w:tc>
      </w:tr>
      <w:tr w:rsidR="002873E8" w:rsidRPr="00822294" w14:paraId="4CB13968" w14:textId="77777777" w:rsidTr="002873E8">
        <w:trPr>
          <w:trHeight w:val="173"/>
        </w:trPr>
        <w:tc>
          <w:tcPr>
            <w:tcW w:w="3369" w:type="dxa"/>
            <w:vMerge w:val="restart"/>
            <w:shd w:val="clear" w:color="auto" w:fill="F6F9FC"/>
          </w:tcPr>
          <w:p w14:paraId="438095F6" w14:textId="77777777" w:rsidR="00FA35DE" w:rsidRPr="00FA35DE" w:rsidRDefault="00FA35DE" w:rsidP="00FA35DE">
            <w:pPr>
              <w:rPr>
                <w:rFonts w:ascii="Sylfaen" w:hAnsi="Sylfaen"/>
                <w:bCs/>
                <w:lang w:val="hy-AM"/>
              </w:rPr>
            </w:pPr>
            <w:r w:rsidRPr="00FA35DE">
              <w:rPr>
                <w:rFonts w:ascii="Sylfaen" w:hAnsi="Sylfaen"/>
                <w:lang w:val="en-GB"/>
              </w:rPr>
              <w:t>Health Finance and Economics</w:t>
            </w:r>
          </w:p>
        </w:tc>
        <w:tc>
          <w:tcPr>
            <w:tcW w:w="3118" w:type="dxa"/>
            <w:shd w:val="clear" w:color="auto" w:fill="DBE5F1" w:themeFill="accent1" w:themeFillTint="33"/>
          </w:tcPr>
          <w:p w14:paraId="3705DA88"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769D56EA" w14:textId="77777777" w:rsidR="00FA35DE" w:rsidRPr="00FA35DE" w:rsidRDefault="00FA35DE" w:rsidP="00FA35DE">
            <w:pPr>
              <w:jc w:val="both"/>
              <w:rPr>
                <w:rFonts w:ascii="Sylfaen" w:hAnsi="Sylfaen"/>
                <w:bCs/>
                <w:lang w:val="hy-AM"/>
              </w:rPr>
            </w:pPr>
            <w:r w:rsidRPr="00FA35DE">
              <w:rPr>
                <w:rFonts w:ascii="Sylfaen" w:hAnsi="Sylfaen"/>
                <w:bCs/>
                <w:lang w:val="en-GB"/>
              </w:rPr>
              <w:t>31-32</w:t>
            </w:r>
          </w:p>
        </w:tc>
        <w:tc>
          <w:tcPr>
            <w:tcW w:w="1418" w:type="dxa"/>
            <w:vMerge w:val="restart"/>
            <w:shd w:val="clear" w:color="auto" w:fill="F6F9FC"/>
          </w:tcPr>
          <w:p w14:paraId="0D1C421A" w14:textId="77777777" w:rsidR="00FA35DE" w:rsidRPr="00FA35DE" w:rsidRDefault="00FA35DE" w:rsidP="00FA35DE">
            <w:pPr>
              <w:jc w:val="both"/>
              <w:rPr>
                <w:rFonts w:ascii="Sylfaen" w:hAnsi="Sylfaen"/>
                <w:bCs/>
                <w:lang w:val="en-GB"/>
              </w:rPr>
            </w:pPr>
            <w:r w:rsidRPr="00FA35DE">
              <w:rPr>
                <w:rFonts w:ascii="Sylfaen" w:hAnsi="Sylfaen"/>
                <w:bCs/>
                <w:lang w:val="en-GB"/>
              </w:rPr>
              <w:t>30/3/2026</w:t>
            </w:r>
          </w:p>
        </w:tc>
        <w:tc>
          <w:tcPr>
            <w:tcW w:w="1530" w:type="dxa"/>
            <w:vMerge w:val="restart"/>
            <w:shd w:val="clear" w:color="auto" w:fill="DEEAF6"/>
          </w:tcPr>
          <w:p w14:paraId="102092ED" w14:textId="77777777" w:rsidR="00FA35DE" w:rsidRPr="00FA35DE" w:rsidRDefault="00FA35DE" w:rsidP="00FA35DE">
            <w:pPr>
              <w:jc w:val="both"/>
              <w:rPr>
                <w:rFonts w:ascii="Sylfaen" w:hAnsi="Sylfaen"/>
                <w:bCs/>
                <w:lang w:val="hy-AM"/>
              </w:rPr>
            </w:pPr>
            <w:r w:rsidRPr="00FA35DE">
              <w:rPr>
                <w:rFonts w:ascii="Sylfaen" w:hAnsi="Sylfaen"/>
                <w:bCs/>
                <w:lang w:val="en-GB"/>
              </w:rPr>
              <w:t>Monday, Wednesday, Friday</w:t>
            </w:r>
          </w:p>
        </w:tc>
      </w:tr>
      <w:tr w:rsidR="002873E8" w:rsidRPr="00822294" w14:paraId="368D2AB8" w14:textId="77777777" w:rsidTr="002873E8">
        <w:trPr>
          <w:trHeight w:val="172"/>
        </w:trPr>
        <w:tc>
          <w:tcPr>
            <w:tcW w:w="3369" w:type="dxa"/>
            <w:vMerge/>
            <w:shd w:val="clear" w:color="auto" w:fill="F6F9FC"/>
          </w:tcPr>
          <w:p w14:paraId="45F4242C"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421C7A36"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5989355E"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7FD1497C" w14:textId="77777777" w:rsidR="00FA35DE" w:rsidRPr="00FA35DE" w:rsidRDefault="00FA35DE" w:rsidP="00FA35DE">
            <w:pPr>
              <w:jc w:val="both"/>
              <w:rPr>
                <w:rFonts w:ascii="Sylfaen" w:hAnsi="Sylfaen"/>
                <w:bCs/>
                <w:lang w:val="en-GB"/>
              </w:rPr>
            </w:pPr>
          </w:p>
        </w:tc>
        <w:tc>
          <w:tcPr>
            <w:tcW w:w="1418" w:type="dxa"/>
            <w:vMerge/>
            <w:shd w:val="clear" w:color="auto" w:fill="F6F9FC"/>
          </w:tcPr>
          <w:p w14:paraId="1AFD214C" w14:textId="77777777" w:rsidR="00FA35DE" w:rsidRPr="00FA35DE" w:rsidRDefault="00FA35DE" w:rsidP="00FA35DE">
            <w:pPr>
              <w:jc w:val="both"/>
              <w:rPr>
                <w:rFonts w:ascii="Sylfaen" w:hAnsi="Sylfaen"/>
                <w:bCs/>
                <w:lang w:val="en-GB"/>
              </w:rPr>
            </w:pPr>
          </w:p>
        </w:tc>
        <w:tc>
          <w:tcPr>
            <w:tcW w:w="1530" w:type="dxa"/>
            <w:vMerge/>
            <w:shd w:val="clear" w:color="auto" w:fill="DEEAF6"/>
          </w:tcPr>
          <w:p w14:paraId="7BF30ED6" w14:textId="77777777" w:rsidR="00FA35DE" w:rsidRPr="00FA35DE" w:rsidRDefault="00FA35DE" w:rsidP="00FA35DE">
            <w:pPr>
              <w:jc w:val="both"/>
              <w:rPr>
                <w:rFonts w:ascii="Sylfaen" w:hAnsi="Sylfaen"/>
                <w:bCs/>
                <w:lang w:val="en-GB"/>
              </w:rPr>
            </w:pPr>
          </w:p>
        </w:tc>
      </w:tr>
      <w:tr w:rsidR="002873E8" w:rsidRPr="00822294" w14:paraId="12CA5499" w14:textId="77777777" w:rsidTr="002873E8">
        <w:trPr>
          <w:trHeight w:val="323"/>
        </w:trPr>
        <w:tc>
          <w:tcPr>
            <w:tcW w:w="3369" w:type="dxa"/>
            <w:vMerge w:val="restart"/>
            <w:shd w:val="clear" w:color="auto" w:fill="F6F9FC"/>
          </w:tcPr>
          <w:p w14:paraId="60AC9BCD" w14:textId="77777777" w:rsidR="00FA35DE" w:rsidRPr="00FA35DE" w:rsidRDefault="00FA35DE" w:rsidP="00FA35DE">
            <w:pPr>
              <w:rPr>
                <w:rFonts w:ascii="Sylfaen" w:hAnsi="Sylfaen"/>
                <w:bCs/>
                <w:lang w:val="hy-AM"/>
              </w:rPr>
            </w:pPr>
            <w:r w:rsidRPr="00FA35DE">
              <w:rPr>
                <w:rFonts w:ascii="Sylfaen" w:hAnsi="Sylfaen"/>
                <w:lang w:val="en-GB"/>
              </w:rPr>
              <w:t>Human Resource Management</w:t>
            </w:r>
          </w:p>
        </w:tc>
        <w:tc>
          <w:tcPr>
            <w:tcW w:w="3118" w:type="dxa"/>
            <w:shd w:val="clear" w:color="auto" w:fill="DBE5F1" w:themeFill="accent1" w:themeFillTint="33"/>
          </w:tcPr>
          <w:p w14:paraId="58E1E1D6"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6CA1AAD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33-34</w:t>
            </w:r>
          </w:p>
        </w:tc>
        <w:tc>
          <w:tcPr>
            <w:tcW w:w="1418" w:type="dxa"/>
            <w:vMerge w:val="restart"/>
            <w:shd w:val="clear" w:color="auto" w:fill="F6F9FC"/>
          </w:tcPr>
          <w:p w14:paraId="112369ED"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13/4/2026</w:t>
            </w:r>
          </w:p>
        </w:tc>
        <w:tc>
          <w:tcPr>
            <w:tcW w:w="1530" w:type="dxa"/>
            <w:vMerge w:val="restart"/>
            <w:shd w:val="clear" w:color="auto" w:fill="DEEAF6"/>
          </w:tcPr>
          <w:p w14:paraId="16A35396"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11734D23" w14:textId="77777777" w:rsidTr="002873E8">
        <w:trPr>
          <w:trHeight w:val="322"/>
        </w:trPr>
        <w:tc>
          <w:tcPr>
            <w:tcW w:w="3369" w:type="dxa"/>
            <w:vMerge/>
            <w:shd w:val="clear" w:color="auto" w:fill="F6F9FC"/>
          </w:tcPr>
          <w:p w14:paraId="771C2069"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0D144A25"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5E6D136E"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198F4053" w14:textId="77777777" w:rsidR="00FA35DE" w:rsidRPr="00FA35DE" w:rsidRDefault="00FA35DE" w:rsidP="00FA35DE">
            <w:pPr>
              <w:jc w:val="both"/>
              <w:rPr>
                <w:rFonts w:ascii="Sylfaen" w:hAnsi="Sylfaen"/>
                <w:bCs/>
                <w:lang w:val="en-GB"/>
              </w:rPr>
            </w:pPr>
          </w:p>
        </w:tc>
        <w:tc>
          <w:tcPr>
            <w:tcW w:w="1418" w:type="dxa"/>
            <w:vMerge/>
            <w:shd w:val="clear" w:color="auto" w:fill="F6F9FC"/>
          </w:tcPr>
          <w:p w14:paraId="27A37011" w14:textId="77777777" w:rsidR="00FA35DE" w:rsidRPr="00FA35DE" w:rsidRDefault="00FA35DE" w:rsidP="00FA35DE">
            <w:pPr>
              <w:jc w:val="both"/>
              <w:rPr>
                <w:rFonts w:ascii="Sylfaen" w:hAnsi="Sylfaen"/>
                <w:bCs/>
                <w:lang w:val="en-GB"/>
              </w:rPr>
            </w:pPr>
          </w:p>
        </w:tc>
        <w:tc>
          <w:tcPr>
            <w:tcW w:w="1530" w:type="dxa"/>
            <w:vMerge/>
            <w:shd w:val="clear" w:color="auto" w:fill="DEEAF6"/>
          </w:tcPr>
          <w:p w14:paraId="440F13B1" w14:textId="77777777" w:rsidR="00FA35DE" w:rsidRPr="00FA35DE" w:rsidRDefault="00FA35DE" w:rsidP="00FA35DE">
            <w:pPr>
              <w:jc w:val="both"/>
              <w:rPr>
                <w:rFonts w:ascii="Sylfaen" w:hAnsi="Sylfaen"/>
                <w:bCs/>
                <w:lang w:val="en-GB"/>
              </w:rPr>
            </w:pPr>
          </w:p>
        </w:tc>
      </w:tr>
      <w:tr w:rsidR="002873E8" w:rsidRPr="00822294" w14:paraId="2612471F" w14:textId="77777777" w:rsidTr="002873E8">
        <w:trPr>
          <w:trHeight w:val="173"/>
        </w:trPr>
        <w:tc>
          <w:tcPr>
            <w:tcW w:w="3369" w:type="dxa"/>
            <w:vMerge w:val="restart"/>
            <w:shd w:val="clear" w:color="auto" w:fill="F6F9FC"/>
          </w:tcPr>
          <w:p w14:paraId="0F62F768" w14:textId="77777777" w:rsidR="00FA35DE" w:rsidRPr="00FA35DE" w:rsidRDefault="00FA35DE" w:rsidP="00FA35DE">
            <w:pPr>
              <w:rPr>
                <w:rFonts w:ascii="Sylfaen" w:hAnsi="Sylfaen"/>
                <w:bCs/>
                <w:lang w:val="hy-AM"/>
              </w:rPr>
            </w:pPr>
            <w:r w:rsidRPr="00FA35DE">
              <w:rPr>
                <w:rFonts w:ascii="Sylfaen" w:hAnsi="Sylfaen"/>
                <w:bCs/>
                <w:lang w:val="hy-AM"/>
              </w:rPr>
              <w:t>Leadership</w:t>
            </w:r>
          </w:p>
        </w:tc>
        <w:tc>
          <w:tcPr>
            <w:tcW w:w="3118" w:type="dxa"/>
            <w:shd w:val="clear" w:color="auto" w:fill="DBE5F1" w:themeFill="accent1" w:themeFillTint="33"/>
          </w:tcPr>
          <w:p w14:paraId="62BA1364"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1786CF87" w14:textId="77777777" w:rsidR="00FA35DE" w:rsidRPr="00FA35DE" w:rsidRDefault="00FA35DE" w:rsidP="00FA35DE">
            <w:pPr>
              <w:jc w:val="both"/>
              <w:rPr>
                <w:rFonts w:ascii="Sylfaen" w:hAnsi="Sylfaen"/>
                <w:bCs/>
                <w:lang w:val="en-GB"/>
              </w:rPr>
            </w:pPr>
            <w:r w:rsidRPr="00FA35DE">
              <w:rPr>
                <w:rFonts w:ascii="Sylfaen" w:hAnsi="Sylfaen"/>
                <w:bCs/>
                <w:lang w:val="en-GB"/>
              </w:rPr>
              <w:t>35-36</w:t>
            </w:r>
          </w:p>
        </w:tc>
        <w:tc>
          <w:tcPr>
            <w:tcW w:w="1418" w:type="dxa"/>
            <w:vMerge w:val="restart"/>
            <w:shd w:val="clear" w:color="auto" w:fill="F6F9FC"/>
          </w:tcPr>
          <w:p w14:paraId="29D42C9C"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27/4/2026</w:t>
            </w:r>
          </w:p>
        </w:tc>
        <w:tc>
          <w:tcPr>
            <w:tcW w:w="1530" w:type="dxa"/>
            <w:vMerge w:val="restart"/>
            <w:shd w:val="clear" w:color="auto" w:fill="DEEAF6"/>
          </w:tcPr>
          <w:p w14:paraId="4BC029D9"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7B22E0FA" w14:textId="77777777" w:rsidTr="002873E8">
        <w:trPr>
          <w:trHeight w:val="172"/>
        </w:trPr>
        <w:tc>
          <w:tcPr>
            <w:tcW w:w="3369" w:type="dxa"/>
            <w:vMerge/>
            <w:shd w:val="clear" w:color="auto" w:fill="F6F9FC"/>
          </w:tcPr>
          <w:p w14:paraId="263F2936"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601CB1E4"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47E15749"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2ADE7518" w14:textId="77777777" w:rsidR="00FA35DE" w:rsidRPr="00FA35DE" w:rsidRDefault="00FA35DE" w:rsidP="00FA35DE">
            <w:pPr>
              <w:jc w:val="both"/>
              <w:rPr>
                <w:rFonts w:ascii="Sylfaen" w:hAnsi="Sylfaen"/>
                <w:bCs/>
                <w:lang w:val="en-GB"/>
              </w:rPr>
            </w:pPr>
          </w:p>
        </w:tc>
        <w:tc>
          <w:tcPr>
            <w:tcW w:w="1418" w:type="dxa"/>
            <w:vMerge/>
            <w:shd w:val="clear" w:color="auto" w:fill="F6F9FC"/>
          </w:tcPr>
          <w:p w14:paraId="333EF0F0"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10ADEB27" w14:textId="77777777" w:rsidR="00FA35DE" w:rsidRPr="00FA35DE" w:rsidRDefault="00FA35DE" w:rsidP="00FA35DE">
            <w:pPr>
              <w:jc w:val="both"/>
              <w:rPr>
                <w:rFonts w:ascii="Sylfaen" w:hAnsi="Sylfaen"/>
                <w:bCs/>
                <w:color w:val="767171"/>
                <w:lang w:val="hy-AM"/>
              </w:rPr>
            </w:pPr>
          </w:p>
        </w:tc>
      </w:tr>
      <w:tr w:rsidR="002873E8" w:rsidRPr="00822294" w14:paraId="75C9E5AC" w14:textId="77777777" w:rsidTr="002873E8">
        <w:trPr>
          <w:trHeight w:val="173"/>
        </w:trPr>
        <w:tc>
          <w:tcPr>
            <w:tcW w:w="3369" w:type="dxa"/>
            <w:vMerge w:val="restart"/>
            <w:shd w:val="clear" w:color="auto" w:fill="F6F9FC"/>
          </w:tcPr>
          <w:p w14:paraId="041DBE4D" w14:textId="77777777" w:rsidR="00FA35DE" w:rsidRPr="00FA35DE" w:rsidRDefault="00FA35DE" w:rsidP="00FA35DE">
            <w:pPr>
              <w:rPr>
                <w:rFonts w:ascii="Sylfaen" w:hAnsi="Sylfaen"/>
                <w:bCs/>
                <w:lang w:val="hy-AM"/>
              </w:rPr>
            </w:pPr>
            <w:r w:rsidRPr="00FA35DE">
              <w:rPr>
                <w:rFonts w:ascii="Sylfaen" w:hAnsi="Sylfaen"/>
                <w:lang w:val="en-GB"/>
              </w:rPr>
              <w:t>Health Care Quality Management</w:t>
            </w:r>
          </w:p>
        </w:tc>
        <w:tc>
          <w:tcPr>
            <w:tcW w:w="3118" w:type="dxa"/>
            <w:shd w:val="clear" w:color="auto" w:fill="DBE5F1" w:themeFill="accent1" w:themeFillTint="33"/>
          </w:tcPr>
          <w:p w14:paraId="041A3D9C"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7DBA2E88" w14:textId="77777777" w:rsidR="00FA35DE" w:rsidRPr="00FA35DE" w:rsidRDefault="00FA35DE" w:rsidP="00FA35DE">
            <w:pPr>
              <w:jc w:val="both"/>
              <w:rPr>
                <w:rFonts w:ascii="Sylfaen" w:hAnsi="Sylfaen"/>
                <w:bCs/>
                <w:lang w:val="en-GB"/>
              </w:rPr>
            </w:pPr>
            <w:r w:rsidRPr="00FA35DE">
              <w:rPr>
                <w:rFonts w:ascii="Sylfaen" w:hAnsi="Sylfaen"/>
                <w:bCs/>
                <w:lang w:val="en-GB"/>
              </w:rPr>
              <w:t>37-38</w:t>
            </w:r>
          </w:p>
        </w:tc>
        <w:tc>
          <w:tcPr>
            <w:tcW w:w="1418" w:type="dxa"/>
            <w:vMerge w:val="restart"/>
            <w:shd w:val="clear" w:color="auto" w:fill="F6F9FC"/>
          </w:tcPr>
          <w:p w14:paraId="6A9825B1"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11/5/2026</w:t>
            </w:r>
          </w:p>
        </w:tc>
        <w:tc>
          <w:tcPr>
            <w:tcW w:w="1530" w:type="dxa"/>
            <w:vMerge w:val="restart"/>
            <w:shd w:val="clear" w:color="auto" w:fill="DEEAF6"/>
          </w:tcPr>
          <w:p w14:paraId="69EAF51A"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3347CE01" w14:textId="77777777" w:rsidTr="002873E8">
        <w:trPr>
          <w:trHeight w:val="172"/>
        </w:trPr>
        <w:tc>
          <w:tcPr>
            <w:tcW w:w="3369" w:type="dxa"/>
            <w:vMerge/>
            <w:shd w:val="clear" w:color="auto" w:fill="F6F9FC"/>
          </w:tcPr>
          <w:p w14:paraId="5D7CE1A8"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1AE9D2B5"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17453A14"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55D1E050" w14:textId="77777777" w:rsidR="00FA35DE" w:rsidRPr="00FA35DE" w:rsidRDefault="00FA35DE" w:rsidP="00FA35DE">
            <w:pPr>
              <w:jc w:val="both"/>
              <w:rPr>
                <w:rFonts w:ascii="Sylfaen" w:hAnsi="Sylfaen"/>
                <w:bCs/>
                <w:lang w:val="en-GB"/>
              </w:rPr>
            </w:pPr>
          </w:p>
        </w:tc>
        <w:tc>
          <w:tcPr>
            <w:tcW w:w="1418" w:type="dxa"/>
            <w:vMerge/>
            <w:shd w:val="clear" w:color="auto" w:fill="F6F9FC"/>
          </w:tcPr>
          <w:p w14:paraId="6F974F1A"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1AC283D2" w14:textId="77777777" w:rsidR="00FA35DE" w:rsidRPr="00FA35DE" w:rsidRDefault="00FA35DE" w:rsidP="00FA35DE">
            <w:pPr>
              <w:jc w:val="both"/>
              <w:rPr>
                <w:rFonts w:ascii="Sylfaen" w:hAnsi="Sylfaen"/>
                <w:bCs/>
                <w:color w:val="767171"/>
                <w:lang w:val="hy-AM"/>
              </w:rPr>
            </w:pPr>
          </w:p>
        </w:tc>
      </w:tr>
      <w:tr w:rsidR="002873E8" w:rsidRPr="00822294" w14:paraId="7A10E48D" w14:textId="77777777" w:rsidTr="002873E8">
        <w:trPr>
          <w:trHeight w:val="128"/>
        </w:trPr>
        <w:tc>
          <w:tcPr>
            <w:tcW w:w="3369" w:type="dxa"/>
            <w:vMerge w:val="restart"/>
            <w:shd w:val="clear" w:color="auto" w:fill="F6F9FC"/>
          </w:tcPr>
          <w:p w14:paraId="64B6D779" w14:textId="77777777" w:rsidR="00FA35DE" w:rsidRPr="00FA35DE" w:rsidRDefault="00FA35DE" w:rsidP="00FA35DE">
            <w:pPr>
              <w:rPr>
                <w:rFonts w:ascii="Sylfaen" w:hAnsi="Sylfaen"/>
                <w:lang w:val="en-GB"/>
              </w:rPr>
            </w:pPr>
            <w:r w:rsidRPr="00FA35DE">
              <w:rPr>
                <w:rFonts w:ascii="Sylfaen" w:hAnsi="Sylfaen"/>
                <w:bCs/>
                <w:lang w:val="en-GB"/>
              </w:rPr>
              <w:t>Hospital Administration</w:t>
            </w:r>
            <w:r w:rsidRPr="00FA35DE">
              <w:rPr>
                <w:rFonts w:ascii="Sylfaen" w:hAnsi="Sylfaen"/>
                <w:lang w:val="en-GB"/>
              </w:rPr>
              <w:t xml:space="preserve"> </w:t>
            </w:r>
          </w:p>
        </w:tc>
        <w:tc>
          <w:tcPr>
            <w:tcW w:w="3118" w:type="dxa"/>
            <w:shd w:val="clear" w:color="auto" w:fill="DBE5F1" w:themeFill="accent1" w:themeFillTint="33"/>
          </w:tcPr>
          <w:p w14:paraId="5575385D" w14:textId="77777777" w:rsidR="00FA35DE" w:rsidRPr="00FA35DE" w:rsidRDefault="00FA35DE" w:rsidP="00FA35DE">
            <w:pPr>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0D0027D9" w14:textId="77777777" w:rsidR="00FA35DE" w:rsidRPr="00FA35DE" w:rsidRDefault="00FA35DE" w:rsidP="00FA35DE">
            <w:pPr>
              <w:jc w:val="both"/>
              <w:rPr>
                <w:rFonts w:ascii="Sylfaen" w:hAnsi="Sylfaen"/>
                <w:bCs/>
                <w:lang w:val="en-GB"/>
              </w:rPr>
            </w:pPr>
            <w:r w:rsidRPr="00FA35DE">
              <w:rPr>
                <w:rFonts w:ascii="Sylfaen" w:hAnsi="Sylfaen"/>
                <w:bCs/>
                <w:lang w:val="en-GB"/>
              </w:rPr>
              <w:t>39-40</w:t>
            </w:r>
          </w:p>
        </w:tc>
        <w:tc>
          <w:tcPr>
            <w:tcW w:w="1418" w:type="dxa"/>
            <w:vMerge w:val="restart"/>
            <w:shd w:val="clear" w:color="auto" w:fill="F6F9FC"/>
          </w:tcPr>
          <w:p w14:paraId="5A055E10"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25/5/2026</w:t>
            </w:r>
          </w:p>
        </w:tc>
        <w:tc>
          <w:tcPr>
            <w:tcW w:w="1530" w:type="dxa"/>
            <w:vMerge w:val="restart"/>
            <w:shd w:val="clear" w:color="auto" w:fill="DEEAF6"/>
          </w:tcPr>
          <w:p w14:paraId="1AF6686D"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6741E83F" w14:textId="77777777" w:rsidTr="002873E8">
        <w:trPr>
          <w:trHeight w:val="127"/>
        </w:trPr>
        <w:tc>
          <w:tcPr>
            <w:tcW w:w="3369" w:type="dxa"/>
            <w:vMerge/>
            <w:shd w:val="clear" w:color="auto" w:fill="F6F9FC"/>
          </w:tcPr>
          <w:p w14:paraId="751CF5F2"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73144783" w14:textId="77777777" w:rsidR="00FA35DE" w:rsidRPr="00FA35DE" w:rsidRDefault="00FA35DE" w:rsidP="00FA35DE">
            <w:pPr>
              <w:rPr>
                <w:rFonts w:ascii="Sylfaen" w:hAnsi="Sylfaen"/>
                <w:bCs/>
                <w:lang w:val="en-GB"/>
              </w:rPr>
            </w:pPr>
            <w:r w:rsidRPr="00FA35DE">
              <w:rPr>
                <w:rFonts w:ascii="Sylfaen" w:hAnsi="Sylfaen"/>
                <w:bCs/>
                <w:lang w:val="en-GB"/>
              </w:rPr>
              <w:t>Afternoon shift</w:t>
            </w:r>
          </w:p>
          <w:p w14:paraId="6C085D81" w14:textId="77777777" w:rsidR="00FA35DE" w:rsidRPr="00FA35DE" w:rsidRDefault="00FA35DE" w:rsidP="00FA35DE">
            <w:pPr>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17F813E1" w14:textId="77777777" w:rsidR="00FA35DE" w:rsidRPr="00FA35DE" w:rsidRDefault="00FA35DE" w:rsidP="00FA35DE">
            <w:pPr>
              <w:jc w:val="both"/>
              <w:rPr>
                <w:rFonts w:ascii="Sylfaen" w:hAnsi="Sylfaen"/>
                <w:bCs/>
                <w:lang w:val="en-GB"/>
              </w:rPr>
            </w:pPr>
          </w:p>
        </w:tc>
        <w:tc>
          <w:tcPr>
            <w:tcW w:w="1418" w:type="dxa"/>
            <w:vMerge/>
            <w:shd w:val="clear" w:color="auto" w:fill="F6F9FC"/>
          </w:tcPr>
          <w:p w14:paraId="231F5583"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042053F7" w14:textId="77777777" w:rsidR="00FA35DE" w:rsidRPr="00FA35DE" w:rsidRDefault="00FA35DE" w:rsidP="00FA35DE">
            <w:pPr>
              <w:jc w:val="both"/>
              <w:rPr>
                <w:rFonts w:ascii="Sylfaen" w:hAnsi="Sylfaen"/>
                <w:bCs/>
                <w:color w:val="767171"/>
                <w:lang w:val="hy-AM"/>
              </w:rPr>
            </w:pPr>
          </w:p>
        </w:tc>
      </w:tr>
      <w:tr w:rsidR="002873E8" w:rsidRPr="00822294" w14:paraId="6032601E" w14:textId="77777777" w:rsidTr="002873E8">
        <w:trPr>
          <w:trHeight w:val="173"/>
        </w:trPr>
        <w:tc>
          <w:tcPr>
            <w:tcW w:w="3369" w:type="dxa"/>
            <w:vMerge w:val="restart"/>
            <w:shd w:val="clear" w:color="auto" w:fill="F6F9FC"/>
          </w:tcPr>
          <w:p w14:paraId="66779798" w14:textId="77777777" w:rsidR="00FA35DE" w:rsidRPr="00FA35DE" w:rsidRDefault="00FA35DE" w:rsidP="00FA35DE">
            <w:pPr>
              <w:rPr>
                <w:rFonts w:ascii="Sylfaen" w:hAnsi="Sylfaen"/>
                <w:bCs/>
                <w:lang w:val="hy-AM"/>
              </w:rPr>
            </w:pPr>
            <w:r w:rsidRPr="00FA35DE">
              <w:rPr>
                <w:rFonts w:ascii="Sylfaen" w:hAnsi="Sylfaen"/>
                <w:lang w:val="en-GB"/>
              </w:rPr>
              <w:t>Health Policy and Law</w:t>
            </w:r>
          </w:p>
        </w:tc>
        <w:tc>
          <w:tcPr>
            <w:tcW w:w="3118" w:type="dxa"/>
            <w:shd w:val="clear" w:color="auto" w:fill="DBE5F1" w:themeFill="accent1" w:themeFillTint="33"/>
          </w:tcPr>
          <w:p w14:paraId="14FF92D7"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2BB0F5CF" w14:textId="77777777" w:rsidR="00FA35DE" w:rsidRPr="00FA35DE" w:rsidRDefault="00FA35DE" w:rsidP="00FA35DE">
            <w:pPr>
              <w:jc w:val="both"/>
              <w:rPr>
                <w:rFonts w:ascii="Sylfaen" w:hAnsi="Sylfaen"/>
                <w:bCs/>
                <w:lang w:val="en-GB"/>
              </w:rPr>
            </w:pPr>
            <w:r w:rsidRPr="00FA35DE">
              <w:rPr>
                <w:rFonts w:ascii="Sylfaen" w:hAnsi="Sylfaen"/>
                <w:bCs/>
                <w:lang w:val="en-GB"/>
              </w:rPr>
              <w:t>41-42</w:t>
            </w:r>
          </w:p>
        </w:tc>
        <w:tc>
          <w:tcPr>
            <w:tcW w:w="1418" w:type="dxa"/>
            <w:vMerge w:val="restart"/>
            <w:shd w:val="clear" w:color="auto" w:fill="F6F9FC"/>
          </w:tcPr>
          <w:p w14:paraId="3ED2C66A"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08/6/2026</w:t>
            </w:r>
          </w:p>
        </w:tc>
        <w:tc>
          <w:tcPr>
            <w:tcW w:w="1530" w:type="dxa"/>
            <w:vMerge w:val="restart"/>
            <w:shd w:val="clear" w:color="auto" w:fill="DEEAF6"/>
          </w:tcPr>
          <w:p w14:paraId="37129D89"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78ACE901" w14:textId="77777777" w:rsidTr="002873E8">
        <w:trPr>
          <w:trHeight w:val="172"/>
        </w:trPr>
        <w:tc>
          <w:tcPr>
            <w:tcW w:w="3369" w:type="dxa"/>
            <w:vMerge/>
            <w:shd w:val="clear" w:color="auto" w:fill="F6F9FC"/>
          </w:tcPr>
          <w:p w14:paraId="079E4674"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5E0184AA" w14:textId="77777777" w:rsidR="00FA35DE" w:rsidRPr="00FA35DE" w:rsidRDefault="00FA35DE" w:rsidP="00FA35DE">
            <w:pPr>
              <w:jc w:val="both"/>
              <w:rPr>
                <w:rFonts w:ascii="Sylfaen" w:hAnsi="Sylfaen"/>
                <w:bCs/>
                <w:lang w:val="en-GB"/>
              </w:rPr>
            </w:pPr>
            <w:r w:rsidRPr="00FA35DE">
              <w:rPr>
                <w:rFonts w:ascii="Sylfaen" w:hAnsi="Sylfaen"/>
                <w:bCs/>
                <w:lang w:val="en-GB"/>
              </w:rPr>
              <w:t>Afternoon shift</w:t>
            </w:r>
          </w:p>
          <w:p w14:paraId="7B4B5442" w14:textId="77777777" w:rsidR="00FA35DE" w:rsidRPr="00FA35DE" w:rsidRDefault="00FA35DE" w:rsidP="00FA35DE">
            <w:pPr>
              <w:jc w:val="both"/>
              <w:rPr>
                <w:rFonts w:ascii="Sylfaen" w:hAnsi="Sylfaen"/>
                <w:bCs/>
                <w:lang w:val="en-GB"/>
              </w:rPr>
            </w:pPr>
            <w:r w:rsidRPr="00FA35DE">
              <w:rPr>
                <w:rFonts w:ascii="Sylfaen" w:hAnsi="Sylfaen"/>
                <w:bCs/>
                <w:lang w:val="en-GB"/>
              </w:rPr>
              <w:t>15.00-20.00</w:t>
            </w:r>
          </w:p>
        </w:tc>
        <w:tc>
          <w:tcPr>
            <w:tcW w:w="1588" w:type="dxa"/>
            <w:vMerge/>
            <w:shd w:val="clear" w:color="auto" w:fill="DAEEF3" w:themeFill="accent5" w:themeFillTint="33"/>
          </w:tcPr>
          <w:p w14:paraId="13EC5467" w14:textId="77777777" w:rsidR="00FA35DE" w:rsidRPr="00FA35DE" w:rsidRDefault="00FA35DE" w:rsidP="00FA35DE">
            <w:pPr>
              <w:jc w:val="both"/>
              <w:rPr>
                <w:rFonts w:ascii="Sylfaen" w:hAnsi="Sylfaen"/>
                <w:bCs/>
                <w:lang w:val="en-GB"/>
              </w:rPr>
            </w:pPr>
          </w:p>
        </w:tc>
        <w:tc>
          <w:tcPr>
            <w:tcW w:w="1418" w:type="dxa"/>
            <w:vMerge/>
            <w:shd w:val="clear" w:color="auto" w:fill="F6F9FC"/>
          </w:tcPr>
          <w:p w14:paraId="6C6EA099"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6B13FBB9" w14:textId="77777777" w:rsidR="00FA35DE" w:rsidRPr="00FA35DE" w:rsidRDefault="00FA35DE" w:rsidP="00FA35DE">
            <w:pPr>
              <w:jc w:val="both"/>
              <w:rPr>
                <w:rFonts w:ascii="Sylfaen" w:hAnsi="Sylfaen"/>
                <w:bCs/>
                <w:color w:val="767171"/>
                <w:lang w:val="hy-AM"/>
              </w:rPr>
            </w:pPr>
          </w:p>
        </w:tc>
      </w:tr>
      <w:tr w:rsidR="00FA35DE" w:rsidRPr="00ED06FB" w14:paraId="22B9BB63" w14:textId="77777777" w:rsidTr="00FA35DE">
        <w:trPr>
          <w:trHeight w:val="172"/>
        </w:trPr>
        <w:tc>
          <w:tcPr>
            <w:tcW w:w="11023" w:type="dxa"/>
            <w:gridSpan w:val="5"/>
            <w:shd w:val="clear" w:color="auto" w:fill="B6DDE8" w:themeFill="accent5" w:themeFillTint="66"/>
          </w:tcPr>
          <w:p w14:paraId="1C73D4DC" w14:textId="77777777" w:rsidR="00FA35DE" w:rsidRPr="00FA35DE" w:rsidRDefault="00FA35DE" w:rsidP="00FA35DE">
            <w:pPr>
              <w:jc w:val="center"/>
              <w:rPr>
                <w:rFonts w:ascii="Sylfaen" w:hAnsi="Sylfaen"/>
                <w:lang w:val="en-GB"/>
              </w:rPr>
            </w:pPr>
            <w:r w:rsidRPr="00FA35DE">
              <w:rPr>
                <w:rFonts w:ascii="Sylfaen" w:hAnsi="Sylfaen"/>
                <w:lang w:val="en-GB"/>
              </w:rPr>
              <w:t>Summer Holiday - Teaching Week 43-52, Week starting 22/6/2026</w:t>
            </w:r>
          </w:p>
        </w:tc>
      </w:tr>
      <w:tr w:rsidR="00FA35DE" w:rsidRPr="00ED06FB" w14:paraId="7739C076" w14:textId="77777777" w:rsidTr="00FA35DE">
        <w:trPr>
          <w:trHeight w:val="172"/>
        </w:trPr>
        <w:tc>
          <w:tcPr>
            <w:tcW w:w="11023" w:type="dxa"/>
            <w:gridSpan w:val="5"/>
            <w:shd w:val="clear" w:color="auto" w:fill="B6DDE8" w:themeFill="accent5" w:themeFillTint="66"/>
          </w:tcPr>
          <w:p w14:paraId="4A569909" w14:textId="77777777" w:rsidR="00FA35DE" w:rsidRPr="00FA35DE" w:rsidRDefault="00FA35DE" w:rsidP="00FA35DE">
            <w:pPr>
              <w:jc w:val="center"/>
              <w:rPr>
                <w:rFonts w:ascii="Sylfaen" w:hAnsi="Sylfaen"/>
                <w:color w:val="767171"/>
                <w:lang w:val="hy-AM"/>
              </w:rPr>
            </w:pPr>
            <w:r w:rsidRPr="00FA35DE">
              <w:rPr>
                <w:rFonts w:ascii="Sylfaen" w:hAnsi="Sylfaen"/>
                <w:lang w:val="en-GB"/>
              </w:rPr>
              <w:t>First re-sit Session, Teaching Week 43-44, Week starting 22/6/2026</w:t>
            </w:r>
          </w:p>
        </w:tc>
      </w:tr>
      <w:tr w:rsidR="00FA35DE" w:rsidRPr="00ED06FB" w14:paraId="03C52604" w14:textId="77777777" w:rsidTr="00FA35DE">
        <w:trPr>
          <w:trHeight w:val="172"/>
        </w:trPr>
        <w:tc>
          <w:tcPr>
            <w:tcW w:w="11023" w:type="dxa"/>
            <w:gridSpan w:val="5"/>
            <w:shd w:val="clear" w:color="auto" w:fill="B6DDE8" w:themeFill="accent5" w:themeFillTint="66"/>
          </w:tcPr>
          <w:p w14:paraId="7D997908" w14:textId="77777777" w:rsidR="00FA35DE" w:rsidRPr="00FA35DE" w:rsidRDefault="00FA35DE" w:rsidP="00FA35DE">
            <w:pPr>
              <w:jc w:val="center"/>
              <w:rPr>
                <w:rFonts w:ascii="Sylfaen" w:hAnsi="Sylfaen"/>
                <w:color w:val="767171"/>
                <w:lang w:val="hy-AM"/>
              </w:rPr>
            </w:pPr>
            <w:r w:rsidRPr="00FA35DE">
              <w:rPr>
                <w:rFonts w:ascii="Sylfaen" w:hAnsi="Sylfaen"/>
                <w:lang w:val="en-GB"/>
              </w:rPr>
              <w:t>Second re-sit Session, Teaching Week 52-53, Week starting 24/8/2026</w:t>
            </w:r>
          </w:p>
        </w:tc>
      </w:tr>
      <w:bookmarkEnd w:id="23"/>
      <w:tr w:rsidR="00FA35DE" w:rsidRPr="00ED06FB" w14:paraId="437101CA" w14:textId="77777777" w:rsidTr="00FA35DE">
        <w:trPr>
          <w:trHeight w:val="502"/>
        </w:trPr>
        <w:tc>
          <w:tcPr>
            <w:tcW w:w="11023" w:type="dxa"/>
            <w:gridSpan w:val="5"/>
            <w:shd w:val="clear" w:color="auto" w:fill="C6D9F1" w:themeFill="text2" w:themeFillTint="33"/>
          </w:tcPr>
          <w:p w14:paraId="3D500F8A" w14:textId="77777777" w:rsidR="00FA35DE" w:rsidRPr="00FA35DE" w:rsidRDefault="00FA35DE" w:rsidP="00FA35DE">
            <w:pPr>
              <w:jc w:val="center"/>
              <w:rPr>
                <w:rFonts w:ascii="Sylfaen" w:hAnsi="Sylfaen"/>
                <w:b/>
                <w:iCs/>
                <w:lang w:val="hy-AM"/>
              </w:rPr>
            </w:pPr>
            <w:r w:rsidRPr="00FA35DE">
              <w:rPr>
                <w:rFonts w:ascii="Sylfaen" w:hAnsi="Sylfaen"/>
                <w:b/>
                <w:bCs/>
                <w:lang w:val="en-GB"/>
              </w:rPr>
              <w:t>Year II, Semester 3 (Fall), September 2026 – February 2027</w:t>
            </w:r>
          </w:p>
        </w:tc>
      </w:tr>
      <w:tr w:rsidR="00FA35DE" w:rsidRPr="00822294" w14:paraId="20F5A0EB" w14:textId="77777777" w:rsidTr="00FA35DE">
        <w:trPr>
          <w:trHeight w:val="502"/>
        </w:trPr>
        <w:tc>
          <w:tcPr>
            <w:tcW w:w="3369" w:type="dxa"/>
            <w:shd w:val="clear" w:color="auto" w:fill="C6D9F1" w:themeFill="text2" w:themeFillTint="33"/>
          </w:tcPr>
          <w:p w14:paraId="615E885C" w14:textId="77777777" w:rsidR="00FA35DE" w:rsidRPr="00FA35DE" w:rsidRDefault="00FA35DE" w:rsidP="00FA35DE">
            <w:pPr>
              <w:jc w:val="center"/>
              <w:rPr>
                <w:rFonts w:ascii="Sylfaen" w:hAnsi="Sylfaen"/>
                <w:b/>
                <w:lang w:val="en-GB"/>
              </w:rPr>
            </w:pPr>
            <w:r w:rsidRPr="00FA35DE">
              <w:rPr>
                <w:rFonts w:ascii="Sylfaen" w:hAnsi="Sylfaen"/>
                <w:b/>
                <w:lang w:val="en-GB"/>
              </w:rPr>
              <w:t>Module</w:t>
            </w:r>
          </w:p>
        </w:tc>
        <w:tc>
          <w:tcPr>
            <w:tcW w:w="3118" w:type="dxa"/>
            <w:shd w:val="clear" w:color="auto" w:fill="C6D9F1" w:themeFill="text2" w:themeFillTint="33"/>
          </w:tcPr>
          <w:p w14:paraId="02A2136F" w14:textId="56AAB0EA" w:rsidR="00FA35DE" w:rsidRPr="00FA35DE" w:rsidRDefault="00FA35DE" w:rsidP="00FA35DE">
            <w:pPr>
              <w:jc w:val="center"/>
              <w:rPr>
                <w:rFonts w:ascii="Sylfaen" w:hAnsi="Sylfaen"/>
                <w:b/>
                <w:lang w:val="en-GB"/>
              </w:rPr>
            </w:pPr>
            <w:r w:rsidRPr="00FA35DE">
              <w:rPr>
                <w:rFonts w:ascii="Sylfaen" w:hAnsi="Sylfaen"/>
                <w:b/>
                <w:lang w:val="en-GB"/>
              </w:rPr>
              <w:t>Shift</w:t>
            </w:r>
          </w:p>
        </w:tc>
        <w:tc>
          <w:tcPr>
            <w:tcW w:w="1588" w:type="dxa"/>
            <w:shd w:val="clear" w:color="auto" w:fill="C6D9F1" w:themeFill="text2" w:themeFillTint="33"/>
          </w:tcPr>
          <w:p w14:paraId="1ED02CEB" w14:textId="77777777" w:rsidR="00FA35DE" w:rsidRPr="00FA35DE" w:rsidRDefault="00FA35DE" w:rsidP="00FA35DE">
            <w:pPr>
              <w:jc w:val="center"/>
              <w:rPr>
                <w:rFonts w:ascii="Sylfaen" w:hAnsi="Sylfaen"/>
                <w:b/>
                <w:lang w:val="en-GB"/>
              </w:rPr>
            </w:pPr>
            <w:r w:rsidRPr="00FA35DE">
              <w:rPr>
                <w:rFonts w:ascii="Sylfaen" w:hAnsi="Sylfaen"/>
                <w:b/>
                <w:lang w:val="en-GB"/>
              </w:rPr>
              <w:t>Teaching Week</w:t>
            </w:r>
          </w:p>
        </w:tc>
        <w:tc>
          <w:tcPr>
            <w:tcW w:w="1418" w:type="dxa"/>
            <w:shd w:val="clear" w:color="auto" w:fill="C6D9F1" w:themeFill="text2" w:themeFillTint="33"/>
          </w:tcPr>
          <w:p w14:paraId="3357F191" w14:textId="77777777" w:rsidR="00FA35DE" w:rsidRPr="00FA35DE" w:rsidRDefault="00FA35DE" w:rsidP="00FA35DE">
            <w:pPr>
              <w:jc w:val="center"/>
              <w:rPr>
                <w:rFonts w:ascii="Sylfaen" w:hAnsi="Sylfaen"/>
                <w:b/>
                <w:lang w:val="en-GB"/>
              </w:rPr>
            </w:pPr>
            <w:r w:rsidRPr="00FA35DE">
              <w:rPr>
                <w:rFonts w:ascii="Sylfaen" w:hAnsi="Sylfaen"/>
                <w:b/>
                <w:lang w:val="en-GB"/>
              </w:rPr>
              <w:t>Week starting</w:t>
            </w:r>
          </w:p>
        </w:tc>
        <w:tc>
          <w:tcPr>
            <w:tcW w:w="1530" w:type="dxa"/>
            <w:shd w:val="clear" w:color="auto" w:fill="C6D9F1" w:themeFill="text2" w:themeFillTint="33"/>
          </w:tcPr>
          <w:p w14:paraId="4FDB0903" w14:textId="77777777" w:rsidR="00FA35DE" w:rsidRPr="00FA35DE" w:rsidRDefault="00FA35DE" w:rsidP="00FA35DE">
            <w:pPr>
              <w:jc w:val="center"/>
              <w:rPr>
                <w:rFonts w:ascii="Sylfaen" w:hAnsi="Sylfaen"/>
                <w:b/>
                <w:lang w:val="en-GB"/>
              </w:rPr>
            </w:pPr>
            <w:r w:rsidRPr="00FA35DE">
              <w:rPr>
                <w:rFonts w:ascii="Sylfaen" w:hAnsi="Sylfaen"/>
                <w:b/>
                <w:lang w:val="en-GB"/>
              </w:rPr>
              <w:t>Class days</w:t>
            </w:r>
          </w:p>
        </w:tc>
      </w:tr>
      <w:tr w:rsidR="002873E8" w:rsidRPr="00822294" w14:paraId="0F5CB08E" w14:textId="77777777" w:rsidTr="002873E8">
        <w:trPr>
          <w:trHeight w:val="317"/>
        </w:trPr>
        <w:tc>
          <w:tcPr>
            <w:tcW w:w="3369" w:type="dxa"/>
            <w:shd w:val="clear" w:color="auto" w:fill="F6F9FC"/>
          </w:tcPr>
          <w:p w14:paraId="0A2B0F45"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Individual Thesis Supervision </w:t>
            </w:r>
          </w:p>
        </w:tc>
        <w:tc>
          <w:tcPr>
            <w:tcW w:w="3118" w:type="dxa"/>
            <w:shd w:val="clear" w:color="auto" w:fill="DBE5F1" w:themeFill="accent1" w:themeFillTint="33"/>
          </w:tcPr>
          <w:p w14:paraId="30F590E0" w14:textId="77777777" w:rsidR="00FA35DE" w:rsidRPr="00FA35DE" w:rsidRDefault="00FA35DE" w:rsidP="00FA35DE">
            <w:pPr>
              <w:rPr>
                <w:rFonts w:ascii="Sylfaen" w:hAnsi="Sylfaen"/>
                <w:bCs/>
                <w:lang w:val="en-GB"/>
              </w:rPr>
            </w:pPr>
            <w:r w:rsidRPr="00FA35DE">
              <w:rPr>
                <w:rFonts w:ascii="Sylfaen" w:hAnsi="Sylfaen"/>
                <w:bCs/>
                <w:lang w:val="en-GB"/>
              </w:rPr>
              <w:t>Individual meetings with thesis supervisor</w:t>
            </w:r>
          </w:p>
        </w:tc>
        <w:tc>
          <w:tcPr>
            <w:tcW w:w="1588" w:type="dxa"/>
            <w:shd w:val="clear" w:color="auto" w:fill="DAEEF3" w:themeFill="accent5" w:themeFillTint="33"/>
          </w:tcPr>
          <w:p w14:paraId="57C3ADCD" w14:textId="77777777" w:rsidR="00FA35DE" w:rsidRPr="00FA35DE" w:rsidRDefault="00FA35DE" w:rsidP="00FA35DE">
            <w:pPr>
              <w:jc w:val="both"/>
              <w:rPr>
                <w:rFonts w:ascii="Sylfaen" w:hAnsi="Sylfaen"/>
                <w:bCs/>
                <w:lang w:val="en-GB"/>
              </w:rPr>
            </w:pPr>
            <w:r w:rsidRPr="00FA35DE">
              <w:rPr>
                <w:rFonts w:ascii="Sylfaen" w:hAnsi="Sylfaen"/>
                <w:bCs/>
                <w:lang w:val="en-GB"/>
              </w:rPr>
              <w:t>53-73</w:t>
            </w:r>
          </w:p>
          <w:p w14:paraId="08EF75CE" w14:textId="77777777" w:rsidR="00FA35DE" w:rsidRPr="00FA35DE" w:rsidRDefault="00FA35DE" w:rsidP="00FA35DE">
            <w:pPr>
              <w:jc w:val="both"/>
              <w:rPr>
                <w:rFonts w:ascii="Sylfaen" w:hAnsi="Sylfaen"/>
                <w:bCs/>
                <w:lang w:val="en-GB"/>
              </w:rPr>
            </w:pPr>
            <w:r w:rsidRPr="00FA35DE">
              <w:rPr>
                <w:rFonts w:ascii="Sylfaen" w:hAnsi="Sylfaen"/>
                <w:bCs/>
                <w:lang w:val="en-GB"/>
              </w:rPr>
              <w:t>Longitudinal, concurrent</w:t>
            </w:r>
          </w:p>
        </w:tc>
        <w:tc>
          <w:tcPr>
            <w:tcW w:w="1418" w:type="dxa"/>
            <w:shd w:val="clear" w:color="auto" w:fill="F6F9FC"/>
          </w:tcPr>
          <w:p w14:paraId="65871BA0" w14:textId="77777777" w:rsidR="00FA35DE" w:rsidRPr="00FA35DE" w:rsidRDefault="00FA35DE" w:rsidP="00FA35DE">
            <w:pPr>
              <w:jc w:val="both"/>
              <w:rPr>
                <w:rFonts w:ascii="Sylfaen" w:hAnsi="Sylfaen"/>
                <w:bCs/>
                <w:lang w:val="en-GB"/>
              </w:rPr>
            </w:pPr>
            <w:r w:rsidRPr="00FA35DE">
              <w:rPr>
                <w:rFonts w:ascii="Sylfaen" w:hAnsi="Sylfaen"/>
                <w:bCs/>
                <w:lang w:val="en-GB"/>
              </w:rPr>
              <w:t>31/8/2026</w:t>
            </w:r>
          </w:p>
        </w:tc>
        <w:tc>
          <w:tcPr>
            <w:tcW w:w="1530" w:type="dxa"/>
            <w:shd w:val="clear" w:color="auto" w:fill="DAEEF3" w:themeFill="accent5" w:themeFillTint="33"/>
          </w:tcPr>
          <w:p w14:paraId="0B3BC762" w14:textId="77777777" w:rsidR="00FA35DE" w:rsidRPr="00FA35DE" w:rsidRDefault="00FA35DE" w:rsidP="00FA35DE">
            <w:pPr>
              <w:jc w:val="both"/>
              <w:rPr>
                <w:rFonts w:ascii="Sylfaen" w:hAnsi="Sylfaen"/>
                <w:bCs/>
                <w:lang w:val="en-GB"/>
              </w:rPr>
            </w:pPr>
            <w:r w:rsidRPr="00FA35DE">
              <w:rPr>
                <w:rFonts w:ascii="Sylfaen" w:hAnsi="Sylfaen"/>
                <w:bCs/>
                <w:lang w:val="en-GB"/>
              </w:rPr>
              <w:t>Scheduled by supervisors</w:t>
            </w:r>
          </w:p>
        </w:tc>
      </w:tr>
      <w:tr w:rsidR="002873E8" w:rsidRPr="00822294" w14:paraId="3DF9ADC7" w14:textId="77777777" w:rsidTr="002873E8">
        <w:trPr>
          <w:trHeight w:val="420"/>
        </w:trPr>
        <w:tc>
          <w:tcPr>
            <w:tcW w:w="3369" w:type="dxa"/>
            <w:vMerge w:val="restart"/>
            <w:shd w:val="clear" w:color="auto" w:fill="F6F9FC"/>
          </w:tcPr>
          <w:p w14:paraId="71EDE2AB"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Comparative Analysis of Healthcare Systems </w:t>
            </w:r>
          </w:p>
        </w:tc>
        <w:tc>
          <w:tcPr>
            <w:tcW w:w="3118" w:type="dxa"/>
            <w:shd w:val="clear" w:color="auto" w:fill="DBE5F1" w:themeFill="accent1" w:themeFillTint="33"/>
          </w:tcPr>
          <w:p w14:paraId="4E1DA4F8" w14:textId="77777777" w:rsidR="00FA35DE" w:rsidRPr="00FA35DE" w:rsidRDefault="00FA35DE" w:rsidP="00FA35DE">
            <w:pPr>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624E98D5" w14:textId="77777777" w:rsidR="00FA35DE" w:rsidRPr="00FA35DE" w:rsidRDefault="00FA35DE" w:rsidP="00FA35DE">
            <w:pPr>
              <w:jc w:val="both"/>
              <w:rPr>
                <w:rFonts w:ascii="Sylfaen" w:hAnsi="Sylfaen"/>
                <w:bCs/>
                <w:lang w:val="en-GB"/>
              </w:rPr>
            </w:pPr>
            <w:r w:rsidRPr="00FA35DE">
              <w:rPr>
                <w:rFonts w:ascii="Sylfaen" w:hAnsi="Sylfaen"/>
                <w:bCs/>
                <w:lang w:val="en-GB"/>
              </w:rPr>
              <w:t>53-54</w:t>
            </w:r>
          </w:p>
        </w:tc>
        <w:tc>
          <w:tcPr>
            <w:tcW w:w="1418" w:type="dxa"/>
            <w:vMerge w:val="restart"/>
            <w:shd w:val="clear" w:color="auto" w:fill="F6F9FC"/>
          </w:tcPr>
          <w:p w14:paraId="7C49FBF1" w14:textId="77777777" w:rsidR="00FA35DE" w:rsidRPr="00FA35DE" w:rsidRDefault="00FA35DE" w:rsidP="00FA35DE">
            <w:pPr>
              <w:jc w:val="both"/>
              <w:rPr>
                <w:rFonts w:ascii="Sylfaen" w:hAnsi="Sylfaen"/>
                <w:bCs/>
                <w:lang w:val="en-GB"/>
              </w:rPr>
            </w:pPr>
            <w:r w:rsidRPr="00FA35DE">
              <w:rPr>
                <w:rFonts w:ascii="Sylfaen" w:hAnsi="Sylfaen"/>
                <w:bCs/>
                <w:lang w:val="en-GB"/>
              </w:rPr>
              <w:t>31/8/2026</w:t>
            </w:r>
          </w:p>
        </w:tc>
        <w:tc>
          <w:tcPr>
            <w:tcW w:w="1530" w:type="dxa"/>
            <w:vMerge w:val="restart"/>
            <w:shd w:val="clear" w:color="auto" w:fill="DEEAF6"/>
          </w:tcPr>
          <w:p w14:paraId="3D534137"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339BC23C" w14:textId="77777777" w:rsidTr="002873E8">
        <w:trPr>
          <w:trHeight w:val="420"/>
        </w:trPr>
        <w:tc>
          <w:tcPr>
            <w:tcW w:w="3369" w:type="dxa"/>
            <w:vMerge/>
            <w:shd w:val="clear" w:color="auto" w:fill="F6F9FC"/>
          </w:tcPr>
          <w:p w14:paraId="2E8C7A1E"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5E35AE08"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4C6260A4" w14:textId="77777777" w:rsidR="00FA35DE" w:rsidRPr="00FA35DE" w:rsidRDefault="00FA35DE" w:rsidP="00FA35DE">
            <w:pPr>
              <w:jc w:val="both"/>
              <w:rPr>
                <w:rFonts w:ascii="Sylfaen" w:hAnsi="Sylfaen"/>
                <w:bCs/>
                <w:lang w:val="en-GB"/>
              </w:rPr>
            </w:pPr>
          </w:p>
        </w:tc>
        <w:tc>
          <w:tcPr>
            <w:tcW w:w="1418" w:type="dxa"/>
            <w:vMerge/>
            <w:shd w:val="clear" w:color="auto" w:fill="F6F9FC"/>
          </w:tcPr>
          <w:p w14:paraId="75225774" w14:textId="77777777" w:rsidR="00FA35DE" w:rsidRPr="00FA35DE" w:rsidRDefault="00FA35DE" w:rsidP="00FA35DE">
            <w:pPr>
              <w:jc w:val="both"/>
              <w:rPr>
                <w:rFonts w:ascii="Sylfaen" w:hAnsi="Sylfaen"/>
                <w:bCs/>
                <w:lang w:val="en-GB"/>
              </w:rPr>
            </w:pPr>
          </w:p>
        </w:tc>
        <w:tc>
          <w:tcPr>
            <w:tcW w:w="1530" w:type="dxa"/>
            <w:vMerge/>
            <w:shd w:val="clear" w:color="auto" w:fill="DEEAF6"/>
          </w:tcPr>
          <w:p w14:paraId="41820237" w14:textId="77777777" w:rsidR="00FA35DE" w:rsidRPr="00FA35DE" w:rsidRDefault="00FA35DE" w:rsidP="00FA35DE">
            <w:pPr>
              <w:jc w:val="both"/>
              <w:rPr>
                <w:rFonts w:ascii="Sylfaen" w:hAnsi="Sylfaen"/>
                <w:bCs/>
                <w:lang w:val="en-GB"/>
              </w:rPr>
            </w:pPr>
          </w:p>
        </w:tc>
      </w:tr>
      <w:tr w:rsidR="002873E8" w:rsidRPr="00822294" w14:paraId="43A8D933" w14:textId="77777777" w:rsidTr="002873E8">
        <w:trPr>
          <w:trHeight w:val="390"/>
        </w:trPr>
        <w:tc>
          <w:tcPr>
            <w:tcW w:w="3369" w:type="dxa"/>
            <w:vMerge w:val="restart"/>
            <w:shd w:val="clear" w:color="auto" w:fill="F6F9FC"/>
          </w:tcPr>
          <w:p w14:paraId="797751DC" w14:textId="77777777" w:rsidR="00FA35DE" w:rsidRPr="00FA35DE" w:rsidRDefault="00FA35DE" w:rsidP="00FA35DE">
            <w:pPr>
              <w:rPr>
                <w:rFonts w:ascii="Sylfaen" w:hAnsi="Sylfaen"/>
                <w:bCs/>
                <w:lang w:val="en-GB"/>
              </w:rPr>
            </w:pPr>
            <w:r w:rsidRPr="00FA35DE">
              <w:rPr>
                <w:rFonts w:ascii="Sylfaen" w:hAnsi="Sylfaen"/>
                <w:bCs/>
                <w:lang w:val="en-GB"/>
              </w:rPr>
              <w:t xml:space="preserve">Health Education and Promotion </w:t>
            </w:r>
          </w:p>
        </w:tc>
        <w:tc>
          <w:tcPr>
            <w:tcW w:w="3118" w:type="dxa"/>
            <w:shd w:val="clear" w:color="auto" w:fill="DBE5F1" w:themeFill="accent1" w:themeFillTint="33"/>
          </w:tcPr>
          <w:p w14:paraId="718C4B7F"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2E393A9A" w14:textId="77777777" w:rsidR="00FA35DE" w:rsidRPr="00FA35DE" w:rsidRDefault="00FA35DE" w:rsidP="00FA35DE">
            <w:pPr>
              <w:jc w:val="both"/>
              <w:rPr>
                <w:rFonts w:ascii="Sylfaen" w:hAnsi="Sylfaen"/>
                <w:bCs/>
                <w:lang w:val="en-GB"/>
              </w:rPr>
            </w:pPr>
            <w:r w:rsidRPr="00FA35DE">
              <w:rPr>
                <w:rFonts w:ascii="Sylfaen" w:hAnsi="Sylfaen"/>
                <w:bCs/>
                <w:lang w:val="en-GB"/>
              </w:rPr>
              <w:t xml:space="preserve">55–56 </w:t>
            </w:r>
          </w:p>
        </w:tc>
        <w:tc>
          <w:tcPr>
            <w:tcW w:w="1418" w:type="dxa"/>
            <w:vMerge w:val="restart"/>
            <w:shd w:val="clear" w:color="auto" w:fill="F6F9FC"/>
          </w:tcPr>
          <w:p w14:paraId="6489FC56" w14:textId="77777777" w:rsidR="00FA35DE" w:rsidRPr="00FA35DE" w:rsidRDefault="00FA35DE" w:rsidP="00FA35DE">
            <w:pPr>
              <w:jc w:val="both"/>
              <w:rPr>
                <w:rFonts w:ascii="Sylfaen" w:hAnsi="Sylfaen"/>
                <w:bCs/>
                <w:lang w:val="en-GB"/>
              </w:rPr>
            </w:pPr>
            <w:r w:rsidRPr="00FA35DE">
              <w:rPr>
                <w:rFonts w:ascii="Sylfaen" w:hAnsi="Sylfaen"/>
                <w:bCs/>
                <w:lang w:val="en-GB"/>
              </w:rPr>
              <w:t>14/9/2026</w:t>
            </w:r>
          </w:p>
          <w:p w14:paraId="1CA259A5" w14:textId="77777777" w:rsidR="00FA35DE" w:rsidRPr="00FA35DE" w:rsidRDefault="00FA35DE" w:rsidP="00FA35DE">
            <w:pPr>
              <w:jc w:val="both"/>
              <w:rPr>
                <w:rFonts w:ascii="Sylfaen" w:hAnsi="Sylfaen"/>
                <w:bCs/>
                <w:lang w:val="en-GB"/>
              </w:rPr>
            </w:pPr>
          </w:p>
        </w:tc>
        <w:tc>
          <w:tcPr>
            <w:tcW w:w="1530" w:type="dxa"/>
            <w:vMerge w:val="restart"/>
            <w:shd w:val="clear" w:color="auto" w:fill="DEEAF6"/>
          </w:tcPr>
          <w:p w14:paraId="1B55BFB9"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5943D3F3" w14:textId="77777777" w:rsidTr="002873E8">
        <w:trPr>
          <w:trHeight w:val="390"/>
        </w:trPr>
        <w:tc>
          <w:tcPr>
            <w:tcW w:w="3369" w:type="dxa"/>
            <w:vMerge/>
            <w:shd w:val="clear" w:color="auto" w:fill="F6F9FC"/>
          </w:tcPr>
          <w:p w14:paraId="3FA14DD2"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2A335864"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0ED2CBC6" w14:textId="77777777" w:rsidR="00FA35DE" w:rsidRPr="00FA35DE" w:rsidRDefault="00FA35DE" w:rsidP="00FA35DE">
            <w:pPr>
              <w:jc w:val="both"/>
              <w:rPr>
                <w:rFonts w:ascii="Sylfaen" w:hAnsi="Sylfaen"/>
                <w:bCs/>
                <w:lang w:val="en-GB"/>
              </w:rPr>
            </w:pPr>
          </w:p>
        </w:tc>
        <w:tc>
          <w:tcPr>
            <w:tcW w:w="1418" w:type="dxa"/>
            <w:vMerge/>
            <w:shd w:val="clear" w:color="auto" w:fill="F6F9FC"/>
          </w:tcPr>
          <w:p w14:paraId="47E01D6E" w14:textId="77777777" w:rsidR="00FA35DE" w:rsidRPr="00FA35DE" w:rsidRDefault="00FA35DE" w:rsidP="00FA35DE">
            <w:pPr>
              <w:jc w:val="both"/>
              <w:rPr>
                <w:rFonts w:ascii="Sylfaen" w:hAnsi="Sylfaen"/>
                <w:bCs/>
                <w:lang w:val="en-GB"/>
              </w:rPr>
            </w:pPr>
          </w:p>
        </w:tc>
        <w:tc>
          <w:tcPr>
            <w:tcW w:w="1530" w:type="dxa"/>
            <w:vMerge/>
            <w:shd w:val="clear" w:color="auto" w:fill="DEEAF6"/>
          </w:tcPr>
          <w:p w14:paraId="7BD5EF22" w14:textId="77777777" w:rsidR="00FA35DE" w:rsidRPr="00FA35DE" w:rsidRDefault="00FA35DE" w:rsidP="00FA35DE">
            <w:pPr>
              <w:jc w:val="both"/>
              <w:rPr>
                <w:rFonts w:ascii="Sylfaen" w:hAnsi="Sylfaen"/>
                <w:bCs/>
                <w:lang w:val="en-GB"/>
              </w:rPr>
            </w:pPr>
          </w:p>
        </w:tc>
      </w:tr>
      <w:tr w:rsidR="002873E8" w:rsidRPr="00822294" w14:paraId="4AE98B6D" w14:textId="77777777" w:rsidTr="002873E8">
        <w:trPr>
          <w:trHeight w:val="390"/>
        </w:trPr>
        <w:tc>
          <w:tcPr>
            <w:tcW w:w="3369" w:type="dxa"/>
            <w:vMerge w:val="restart"/>
            <w:shd w:val="clear" w:color="auto" w:fill="F6F9FC"/>
          </w:tcPr>
          <w:p w14:paraId="1A270100" w14:textId="77777777" w:rsidR="00FA35DE" w:rsidRPr="00FA35DE" w:rsidRDefault="00FA35DE" w:rsidP="00FA35DE">
            <w:pPr>
              <w:rPr>
                <w:rFonts w:ascii="Sylfaen" w:hAnsi="Sylfaen"/>
                <w:bCs/>
                <w:lang w:val="en-GB"/>
              </w:rPr>
            </w:pPr>
            <w:r w:rsidRPr="00FA35DE">
              <w:rPr>
                <w:rFonts w:ascii="Sylfaen" w:hAnsi="Sylfaen"/>
                <w:bCs/>
                <w:lang w:val="en-GB"/>
              </w:rPr>
              <w:lastRenderedPageBreak/>
              <w:t>Health Care Marketing</w:t>
            </w:r>
          </w:p>
          <w:p w14:paraId="655E09CE"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63AB1580"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3564BE65" w14:textId="77777777" w:rsidR="00FA35DE" w:rsidRPr="00FA35DE" w:rsidRDefault="00FA35DE" w:rsidP="00FA35DE">
            <w:pPr>
              <w:jc w:val="both"/>
              <w:rPr>
                <w:rFonts w:ascii="Sylfaen" w:hAnsi="Sylfaen"/>
                <w:bCs/>
                <w:lang w:val="en-GB"/>
              </w:rPr>
            </w:pPr>
            <w:r w:rsidRPr="00FA35DE">
              <w:rPr>
                <w:rFonts w:ascii="Sylfaen" w:hAnsi="Sylfaen"/>
                <w:bCs/>
                <w:lang w:val="en-GB"/>
              </w:rPr>
              <w:t>57–58</w:t>
            </w:r>
          </w:p>
        </w:tc>
        <w:tc>
          <w:tcPr>
            <w:tcW w:w="1418" w:type="dxa"/>
            <w:vMerge w:val="restart"/>
            <w:shd w:val="clear" w:color="auto" w:fill="F6F9FC"/>
          </w:tcPr>
          <w:p w14:paraId="74E8FBEF" w14:textId="77777777" w:rsidR="00FA35DE" w:rsidRPr="00FA35DE" w:rsidRDefault="00FA35DE" w:rsidP="00FA35DE">
            <w:pPr>
              <w:jc w:val="both"/>
              <w:rPr>
                <w:rFonts w:ascii="Sylfaen" w:hAnsi="Sylfaen"/>
                <w:bCs/>
                <w:lang w:val="en-GB"/>
              </w:rPr>
            </w:pPr>
            <w:r w:rsidRPr="00FA35DE">
              <w:rPr>
                <w:rFonts w:ascii="Sylfaen" w:hAnsi="Sylfaen"/>
                <w:bCs/>
                <w:lang w:val="en-GB"/>
              </w:rPr>
              <w:t>28/9/2026</w:t>
            </w:r>
          </w:p>
        </w:tc>
        <w:tc>
          <w:tcPr>
            <w:tcW w:w="1530" w:type="dxa"/>
            <w:vMerge w:val="restart"/>
            <w:shd w:val="clear" w:color="auto" w:fill="DEEAF6"/>
          </w:tcPr>
          <w:p w14:paraId="2915F876"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0186EE43" w14:textId="77777777" w:rsidTr="002873E8">
        <w:trPr>
          <w:trHeight w:val="390"/>
        </w:trPr>
        <w:tc>
          <w:tcPr>
            <w:tcW w:w="3369" w:type="dxa"/>
            <w:vMerge/>
            <w:shd w:val="clear" w:color="auto" w:fill="F6F9FC"/>
          </w:tcPr>
          <w:p w14:paraId="7C96B627"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3CD6E30A"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1AD0CDA1" w14:textId="77777777" w:rsidR="00FA35DE" w:rsidRPr="00FA35DE" w:rsidRDefault="00FA35DE" w:rsidP="00FA35DE">
            <w:pPr>
              <w:jc w:val="both"/>
              <w:rPr>
                <w:rFonts w:ascii="Sylfaen" w:hAnsi="Sylfaen"/>
                <w:bCs/>
                <w:lang w:val="en-GB"/>
              </w:rPr>
            </w:pPr>
          </w:p>
        </w:tc>
        <w:tc>
          <w:tcPr>
            <w:tcW w:w="1418" w:type="dxa"/>
            <w:vMerge/>
            <w:shd w:val="clear" w:color="auto" w:fill="F6F9FC"/>
          </w:tcPr>
          <w:p w14:paraId="576D488B" w14:textId="77777777" w:rsidR="00FA35DE" w:rsidRPr="00FA35DE" w:rsidRDefault="00FA35DE" w:rsidP="00FA35DE">
            <w:pPr>
              <w:jc w:val="both"/>
              <w:rPr>
                <w:rFonts w:ascii="Sylfaen" w:hAnsi="Sylfaen"/>
                <w:bCs/>
                <w:lang w:val="en-GB"/>
              </w:rPr>
            </w:pPr>
          </w:p>
        </w:tc>
        <w:tc>
          <w:tcPr>
            <w:tcW w:w="1530" w:type="dxa"/>
            <w:vMerge/>
            <w:shd w:val="clear" w:color="auto" w:fill="DEEAF6"/>
          </w:tcPr>
          <w:p w14:paraId="1684D909" w14:textId="77777777" w:rsidR="00FA35DE" w:rsidRPr="00FA35DE" w:rsidRDefault="00FA35DE" w:rsidP="00FA35DE">
            <w:pPr>
              <w:jc w:val="both"/>
              <w:rPr>
                <w:rFonts w:ascii="Sylfaen" w:hAnsi="Sylfaen"/>
                <w:bCs/>
                <w:lang w:val="en-GB"/>
              </w:rPr>
            </w:pPr>
          </w:p>
        </w:tc>
      </w:tr>
      <w:tr w:rsidR="002873E8" w:rsidRPr="00822294" w14:paraId="2193E9D7" w14:textId="77777777" w:rsidTr="002873E8">
        <w:trPr>
          <w:trHeight w:val="195"/>
        </w:trPr>
        <w:tc>
          <w:tcPr>
            <w:tcW w:w="3369" w:type="dxa"/>
            <w:vMerge w:val="restart"/>
            <w:shd w:val="clear" w:color="auto" w:fill="F6F9FC"/>
          </w:tcPr>
          <w:p w14:paraId="306F3876" w14:textId="77777777" w:rsidR="00FA35DE" w:rsidRPr="00FA35DE" w:rsidRDefault="00FA35DE" w:rsidP="00FA35DE">
            <w:pPr>
              <w:jc w:val="both"/>
              <w:rPr>
                <w:rFonts w:ascii="Sylfaen" w:hAnsi="Sylfaen"/>
                <w:lang w:val="en-GB"/>
              </w:rPr>
            </w:pPr>
            <w:r w:rsidRPr="00FA35DE">
              <w:rPr>
                <w:rFonts w:ascii="Sylfaen" w:hAnsi="Sylfaen"/>
                <w:bCs/>
                <w:lang w:val="en-GB"/>
              </w:rPr>
              <w:t>Digital Health</w:t>
            </w:r>
          </w:p>
        </w:tc>
        <w:tc>
          <w:tcPr>
            <w:tcW w:w="3118" w:type="dxa"/>
            <w:shd w:val="clear" w:color="auto" w:fill="DBE5F1" w:themeFill="accent1" w:themeFillTint="33"/>
          </w:tcPr>
          <w:p w14:paraId="35D5E295" w14:textId="77777777" w:rsidR="00FA35DE" w:rsidRPr="00FA35DE" w:rsidRDefault="00FA35DE" w:rsidP="00FA35DE">
            <w:pPr>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696239B1" w14:textId="77777777" w:rsidR="00FA35DE" w:rsidRPr="00FA35DE" w:rsidRDefault="00FA35DE" w:rsidP="00FA35DE">
            <w:pPr>
              <w:jc w:val="both"/>
              <w:rPr>
                <w:rFonts w:ascii="Sylfaen" w:hAnsi="Sylfaen"/>
                <w:bCs/>
                <w:lang w:val="en-GB"/>
              </w:rPr>
            </w:pPr>
            <w:r w:rsidRPr="00FA35DE">
              <w:rPr>
                <w:rFonts w:ascii="Sylfaen" w:hAnsi="Sylfaen"/>
                <w:bCs/>
                <w:lang w:val="en-GB"/>
              </w:rPr>
              <w:t>59–60</w:t>
            </w:r>
          </w:p>
        </w:tc>
        <w:tc>
          <w:tcPr>
            <w:tcW w:w="1418" w:type="dxa"/>
            <w:vMerge w:val="restart"/>
            <w:shd w:val="clear" w:color="auto" w:fill="F6F9FC"/>
          </w:tcPr>
          <w:p w14:paraId="784C2F70" w14:textId="77777777" w:rsidR="00FA35DE" w:rsidRPr="00FA35DE" w:rsidRDefault="00FA35DE" w:rsidP="00FA35DE">
            <w:pPr>
              <w:jc w:val="both"/>
              <w:rPr>
                <w:rFonts w:ascii="Sylfaen" w:hAnsi="Sylfaen"/>
                <w:bCs/>
                <w:lang w:val="en-GB"/>
              </w:rPr>
            </w:pPr>
            <w:r w:rsidRPr="00FA35DE">
              <w:rPr>
                <w:rFonts w:ascii="Sylfaen" w:hAnsi="Sylfaen"/>
                <w:bCs/>
                <w:lang w:val="en-GB"/>
              </w:rPr>
              <w:t>12/10/2026</w:t>
            </w:r>
          </w:p>
        </w:tc>
        <w:tc>
          <w:tcPr>
            <w:tcW w:w="1530" w:type="dxa"/>
            <w:vMerge w:val="restart"/>
            <w:shd w:val="clear" w:color="auto" w:fill="DEEAF6"/>
          </w:tcPr>
          <w:p w14:paraId="1DC4CA5C" w14:textId="77777777" w:rsidR="00FA35DE" w:rsidRPr="00FA35DE" w:rsidRDefault="00FA35DE" w:rsidP="00FA35DE">
            <w:pPr>
              <w:jc w:val="both"/>
              <w:rPr>
                <w:rFonts w:ascii="Sylfaen" w:hAnsi="Sylfaen"/>
                <w:bCs/>
                <w:lang w:val="en-GB"/>
              </w:rPr>
            </w:pPr>
            <w:r w:rsidRPr="00FA35DE">
              <w:rPr>
                <w:rFonts w:ascii="Sylfaen" w:hAnsi="Sylfaen"/>
                <w:bCs/>
                <w:lang w:val="en-GB"/>
              </w:rPr>
              <w:t>Monday, Wednesday, Friday</w:t>
            </w:r>
          </w:p>
        </w:tc>
      </w:tr>
      <w:tr w:rsidR="002873E8" w:rsidRPr="00822294" w14:paraId="5FB24341" w14:textId="77777777" w:rsidTr="002873E8">
        <w:trPr>
          <w:trHeight w:val="195"/>
        </w:trPr>
        <w:tc>
          <w:tcPr>
            <w:tcW w:w="3369" w:type="dxa"/>
            <w:vMerge/>
            <w:shd w:val="clear" w:color="auto" w:fill="F6F9FC"/>
          </w:tcPr>
          <w:p w14:paraId="427E9C58" w14:textId="77777777" w:rsidR="00FA35DE" w:rsidRPr="00FA35DE" w:rsidRDefault="00FA35DE" w:rsidP="00FA35DE">
            <w:pPr>
              <w:jc w:val="both"/>
              <w:rPr>
                <w:rFonts w:ascii="Sylfaen" w:hAnsi="Sylfaen"/>
                <w:bCs/>
                <w:lang w:val="en-GB"/>
              </w:rPr>
            </w:pPr>
          </w:p>
        </w:tc>
        <w:tc>
          <w:tcPr>
            <w:tcW w:w="3118" w:type="dxa"/>
            <w:shd w:val="clear" w:color="auto" w:fill="DBE5F1" w:themeFill="accent1" w:themeFillTint="33"/>
          </w:tcPr>
          <w:p w14:paraId="0E40C180"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654C03B2" w14:textId="77777777" w:rsidR="00FA35DE" w:rsidRPr="00FA35DE" w:rsidRDefault="00FA35DE" w:rsidP="00FA35DE">
            <w:pPr>
              <w:jc w:val="both"/>
              <w:rPr>
                <w:rFonts w:ascii="Sylfaen" w:hAnsi="Sylfaen"/>
                <w:bCs/>
                <w:lang w:val="en-GB"/>
              </w:rPr>
            </w:pPr>
          </w:p>
        </w:tc>
        <w:tc>
          <w:tcPr>
            <w:tcW w:w="1418" w:type="dxa"/>
            <w:vMerge/>
            <w:shd w:val="clear" w:color="auto" w:fill="F6F9FC"/>
          </w:tcPr>
          <w:p w14:paraId="3036A65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3B986046" w14:textId="77777777" w:rsidR="00FA35DE" w:rsidRPr="00FA35DE" w:rsidRDefault="00FA35DE" w:rsidP="00FA35DE">
            <w:pPr>
              <w:jc w:val="both"/>
              <w:rPr>
                <w:rFonts w:ascii="Sylfaen" w:hAnsi="Sylfaen"/>
                <w:bCs/>
                <w:lang w:val="en-GB"/>
              </w:rPr>
            </w:pPr>
          </w:p>
        </w:tc>
      </w:tr>
      <w:tr w:rsidR="002873E8" w:rsidRPr="00822294" w14:paraId="70F396B2" w14:textId="77777777" w:rsidTr="002873E8">
        <w:trPr>
          <w:trHeight w:val="389"/>
        </w:trPr>
        <w:tc>
          <w:tcPr>
            <w:tcW w:w="3369" w:type="dxa"/>
            <w:vMerge w:val="restart"/>
            <w:shd w:val="clear" w:color="auto" w:fill="F6F9FC"/>
          </w:tcPr>
          <w:p w14:paraId="54CB0F0C" w14:textId="77777777" w:rsidR="00FA35DE" w:rsidRPr="00FA35DE" w:rsidRDefault="00FA35DE" w:rsidP="00FA35DE">
            <w:pPr>
              <w:rPr>
                <w:rFonts w:ascii="Sylfaen" w:hAnsi="Sylfaen"/>
                <w:bCs/>
                <w:lang w:val="hy-AM"/>
              </w:rPr>
            </w:pPr>
            <w:r w:rsidRPr="00FA35DE">
              <w:rPr>
                <w:rFonts w:ascii="Sylfaen" w:hAnsi="Sylfaen"/>
                <w:bCs/>
                <w:lang w:val="en-GB"/>
              </w:rPr>
              <w:t xml:space="preserve"> Elective Course*</w:t>
            </w:r>
          </w:p>
        </w:tc>
        <w:tc>
          <w:tcPr>
            <w:tcW w:w="3118" w:type="dxa"/>
            <w:shd w:val="clear" w:color="auto" w:fill="DBE5F1" w:themeFill="accent1" w:themeFillTint="33"/>
          </w:tcPr>
          <w:p w14:paraId="0D0D118F"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49675864" w14:textId="77777777" w:rsidR="00FA35DE" w:rsidRPr="00FA35DE" w:rsidRDefault="00FA35DE" w:rsidP="00FA35DE">
            <w:pPr>
              <w:jc w:val="both"/>
              <w:rPr>
                <w:rFonts w:ascii="Sylfaen" w:hAnsi="Sylfaen"/>
                <w:bCs/>
                <w:lang w:val="hy-AM"/>
              </w:rPr>
            </w:pPr>
            <w:r w:rsidRPr="00FA35DE">
              <w:rPr>
                <w:rFonts w:ascii="Sylfaen" w:hAnsi="Sylfaen"/>
                <w:bCs/>
                <w:lang w:val="en-GB"/>
              </w:rPr>
              <w:t>61-62</w:t>
            </w:r>
          </w:p>
        </w:tc>
        <w:tc>
          <w:tcPr>
            <w:tcW w:w="1418" w:type="dxa"/>
            <w:vMerge w:val="restart"/>
            <w:shd w:val="clear" w:color="auto" w:fill="F6F9FC"/>
          </w:tcPr>
          <w:p w14:paraId="1CB6CC12"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26/10/2026</w:t>
            </w:r>
          </w:p>
        </w:tc>
        <w:tc>
          <w:tcPr>
            <w:tcW w:w="1530" w:type="dxa"/>
            <w:vMerge w:val="restart"/>
            <w:shd w:val="clear" w:color="auto" w:fill="DEEAF6"/>
          </w:tcPr>
          <w:p w14:paraId="2BBF9CEA"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Wednesday, Friday</w:t>
            </w:r>
          </w:p>
        </w:tc>
      </w:tr>
      <w:tr w:rsidR="002873E8" w:rsidRPr="00822294" w14:paraId="72C09320" w14:textId="77777777" w:rsidTr="002873E8">
        <w:trPr>
          <w:trHeight w:val="213"/>
        </w:trPr>
        <w:tc>
          <w:tcPr>
            <w:tcW w:w="3369" w:type="dxa"/>
            <w:vMerge/>
            <w:shd w:val="clear" w:color="auto" w:fill="F6F9FC"/>
          </w:tcPr>
          <w:p w14:paraId="4BE914C3" w14:textId="77777777" w:rsidR="00FA35DE" w:rsidRPr="00FA35DE" w:rsidRDefault="00FA35DE" w:rsidP="00FA35DE">
            <w:pPr>
              <w:rPr>
                <w:rFonts w:ascii="Sylfaen" w:hAnsi="Sylfaen"/>
                <w:lang w:val="en-GB"/>
              </w:rPr>
            </w:pPr>
          </w:p>
        </w:tc>
        <w:tc>
          <w:tcPr>
            <w:tcW w:w="3118" w:type="dxa"/>
            <w:shd w:val="clear" w:color="auto" w:fill="DBE5F1" w:themeFill="accent1" w:themeFillTint="33"/>
          </w:tcPr>
          <w:p w14:paraId="47CE5E79"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530B156F" w14:textId="77777777" w:rsidR="00FA35DE" w:rsidRPr="00FA35DE" w:rsidRDefault="00FA35DE" w:rsidP="00FA35DE">
            <w:pPr>
              <w:jc w:val="both"/>
              <w:rPr>
                <w:rFonts w:ascii="Sylfaen" w:hAnsi="Sylfaen"/>
                <w:bCs/>
                <w:lang w:val="hy-AM"/>
              </w:rPr>
            </w:pPr>
          </w:p>
        </w:tc>
        <w:tc>
          <w:tcPr>
            <w:tcW w:w="1418" w:type="dxa"/>
            <w:vMerge/>
            <w:shd w:val="clear" w:color="auto" w:fill="F6F9FC"/>
          </w:tcPr>
          <w:p w14:paraId="6B42161E" w14:textId="77777777" w:rsidR="00FA35DE" w:rsidRPr="00FA35DE" w:rsidRDefault="00FA35DE" w:rsidP="00FA35DE">
            <w:pPr>
              <w:jc w:val="both"/>
              <w:rPr>
                <w:rFonts w:ascii="Sylfaen" w:hAnsi="Sylfaen"/>
                <w:bCs/>
                <w:color w:val="767171"/>
                <w:lang w:val="hy-AM"/>
              </w:rPr>
            </w:pPr>
          </w:p>
        </w:tc>
        <w:tc>
          <w:tcPr>
            <w:tcW w:w="1530" w:type="dxa"/>
            <w:vMerge/>
            <w:shd w:val="clear" w:color="auto" w:fill="DEEAF6"/>
          </w:tcPr>
          <w:p w14:paraId="61577216" w14:textId="77777777" w:rsidR="00FA35DE" w:rsidRPr="00FA35DE" w:rsidRDefault="00FA35DE" w:rsidP="00FA35DE">
            <w:pPr>
              <w:jc w:val="both"/>
              <w:rPr>
                <w:rFonts w:ascii="Sylfaen" w:hAnsi="Sylfaen"/>
                <w:bCs/>
                <w:color w:val="767171"/>
                <w:lang w:val="hy-AM"/>
              </w:rPr>
            </w:pPr>
          </w:p>
        </w:tc>
      </w:tr>
      <w:tr w:rsidR="002873E8" w:rsidRPr="00822294" w14:paraId="7FF9D994" w14:textId="77777777" w:rsidTr="002873E8">
        <w:trPr>
          <w:trHeight w:val="362"/>
        </w:trPr>
        <w:tc>
          <w:tcPr>
            <w:tcW w:w="3369" w:type="dxa"/>
            <w:vMerge w:val="restart"/>
            <w:shd w:val="clear" w:color="auto" w:fill="F6F9FC"/>
          </w:tcPr>
          <w:p w14:paraId="60D92A5C" w14:textId="77777777" w:rsidR="00FA35DE" w:rsidRPr="00FA35DE" w:rsidRDefault="00FA35DE" w:rsidP="00FA35DE">
            <w:pPr>
              <w:jc w:val="both"/>
              <w:rPr>
                <w:rFonts w:ascii="Sylfaen" w:hAnsi="Sylfaen"/>
                <w:bCs/>
                <w:lang w:val="hy-AM"/>
              </w:rPr>
            </w:pPr>
            <w:r w:rsidRPr="00FA35DE">
              <w:rPr>
                <w:rFonts w:ascii="Sylfaen" w:hAnsi="Sylfaen"/>
                <w:bCs/>
                <w:lang w:val="en-GB"/>
              </w:rPr>
              <w:t>Research Seminar and Thesis Preparation</w:t>
            </w:r>
          </w:p>
        </w:tc>
        <w:tc>
          <w:tcPr>
            <w:tcW w:w="3118" w:type="dxa"/>
            <w:shd w:val="clear" w:color="auto" w:fill="DBE5F1" w:themeFill="accent1" w:themeFillTint="33"/>
          </w:tcPr>
          <w:p w14:paraId="063AEF74"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vMerge w:val="restart"/>
            <w:shd w:val="clear" w:color="auto" w:fill="DAEEF3" w:themeFill="accent5" w:themeFillTint="33"/>
          </w:tcPr>
          <w:p w14:paraId="1E00FB6D" w14:textId="77777777" w:rsidR="00FA35DE" w:rsidRPr="00FA35DE" w:rsidRDefault="00FA35DE" w:rsidP="00FA35DE">
            <w:pPr>
              <w:jc w:val="both"/>
              <w:rPr>
                <w:rFonts w:ascii="Sylfaen" w:hAnsi="Sylfaen"/>
                <w:bCs/>
                <w:lang w:val="hy-AM"/>
              </w:rPr>
            </w:pPr>
            <w:r w:rsidRPr="00FA35DE">
              <w:rPr>
                <w:rFonts w:ascii="Sylfaen" w:hAnsi="Sylfaen"/>
                <w:bCs/>
                <w:lang w:val="en-GB"/>
              </w:rPr>
              <w:t>63-64</w:t>
            </w:r>
          </w:p>
        </w:tc>
        <w:tc>
          <w:tcPr>
            <w:tcW w:w="1418" w:type="dxa"/>
            <w:vMerge w:val="restart"/>
            <w:shd w:val="clear" w:color="auto" w:fill="F6F9FC"/>
          </w:tcPr>
          <w:p w14:paraId="26BA469D" w14:textId="77777777" w:rsidR="00FA35DE" w:rsidRPr="00FA35DE" w:rsidRDefault="00FA35DE" w:rsidP="00FA35DE">
            <w:pPr>
              <w:jc w:val="both"/>
              <w:rPr>
                <w:rFonts w:ascii="Sylfaen" w:hAnsi="Sylfaen"/>
                <w:bCs/>
                <w:lang w:val="en-GB"/>
              </w:rPr>
            </w:pPr>
            <w:r w:rsidRPr="00FA35DE">
              <w:rPr>
                <w:rFonts w:ascii="Sylfaen" w:hAnsi="Sylfaen"/>
                <w:bCs/>
                <w:lang w:val="en-GB"/>
              </w:rPr>
              <w:t>9/11/2026</w:t>
            </w:r>
          </w:p>
        </w:tc>
        <w:tc>
          <w:tcPr>
            <w:tcW w:w="1530" w:type="dxa"/>
            <w:vMerge w:val="restart"/>
            <w:shd w:val="clear" w:color="auto" w:fill="DEEAF6"/>
          </w:tcPr>
          <w:p w14:paraId="5333A97C" w14:textId="77777777" w:rsidR="00FA35DE" w:rsidRPr="00FA35DE" w:rsidRDefault="00FA35DE" w:rsidP="00FA35DE">
            <w:pPr>
              <w:jc w:val="both"/>
              <w:rPr>
                <w:rFonts w:ascii="Sylfaen" w:hAnsi="Sylfaen"/>
                <w:bCs/>
                <w:lang w:val="hy-AM"/>
              </w:rPr>
            </w:pPr>
            <w:r w:rsidRPr="00FA35DE">
              <w:rPr>
                <w:rFonts w:ascii="Sylfaen" w:hAnsi="Sylfaen"/>
                <w:bCs/>
                <w:lang w:val="en-GB"/>
              </w:rPr>
              <w:t>Monday, Wednesday, Friday</w:t>
            </w:r>
          </w:p>
        </w:tc>
      </w:tr>
      <w:tr w:rsidR="002873E8" w:rsidRPr="00822294" w14:paraId="37BAE3E4" w14:textId="77777777" w:rsidTr="002873E8">
        <w:trPr>
          <w:trHeight w:val="379"/>
        </w:trPr>
        <w:tc>
          <w:tcPr>
            <w:tcW w:w="3369" w:type="dxa"/>
            <w:vMerge/>
            <w:shd w:val="clear" w:color="auto" w:fill="F6F9FC"/>
          </w:tcPr>
          <w:p w14:paraId="2F1CF34F" w14:textId="77777777" w:rsidR="00FA35DE" w:rsidRPr="00FA35DE" w:rsidRDefault="00FA35DE" w:rsidP="00FA35DE">
            <w:pPr>
              <w:jc w:val="both"/>
              <w:rPr>
                <w:rFonts w:ascii="Sylfaen" w:hAnsi="Sylfaen"/>
                <w:lang w:val="en-GB"/>
              </w:rPr>
            </w:pPr>
          </w:p>
        </w:tc>
        <w:tc>
          <w:tcPr>
            <w:tcW w:w="3118" w:type="dxa"/>
            <w:shd w:val="clear" w:color="auto" w:fill="DBE5F1" w:themeFill="accent1" w:themeFillTint="33"/>
          </w:tcPr>
          <w:p w14:paraId="04AEF0F3" w14:textId="77777777" w:rsidR="00FA35DE" w:rsidRPr="00FA35DE" w:rsidRDefault="00FA35DE" w:rsidP="00FA35DE">
            <w:pPr>
              <w:rPr>
                <w:rFonts w:ascii="Sylfaen" w:hAnsi="Sylfaen"/>
                <w:bCs/>
                <w:lang w:val="en-GB"/>
              </w:rPr>
            </w:pPr>
            <w:r w:rsidRPr="00FA35DE">
              <w:rPr>
                <w:rFonts w:ascii="Sylfaen" w:hAnsi="Sylfaen"/>
                <w:bCs/>
                <w:lang w:val="en-GB"/>
              </w:rPr>
              <w:t>Afternoon shift 15.00-20.00</w:t>
            </w:r>
          </w:p>
        </w:tc>
        <w:tc>
          <w:tcPr>
            <w:tcW w:w="1588" w:type="dxa"/>
            <w:vMerge/>
            <w:shd w:val="clear" w:color="auto" w:fill="DAEEF3" w:themeFill="accent5" w:themeFillTint="33"/>
          </w:tcPr>
          <w:p w14:paraId="465E462F" w14:textId="77777777" w:rsidR="00FA35DE" w:rsidRPr="00FA35DE" w:rsidRDefault="00FA35DE" w:rsidP="00FA35DE">
            <w:pPr>
              <w:jc w:val="both"/>
              <w:rPr>
                <w:rFonts w:ascii="Sylfaen" w:hAnsi="Sylfaen"/>
                <w:bCs/>
                <w:lang w:val="en-GB"/>
              </w:rPr>
            </w:pPr>
          </w:p>
        </w:tc>
        <w:tc>
          <w:tcPr>
            <w:tcW w:w="1418" w:type="dxa"/>
            <w:vMerge/>
            <w:shd w:val="clear" w:color="auto" w:fill="F6F9FC"/>
          </w:tcPr>
          <w:p w14:paraId="29B763D9" w14:textId="77777777" w:rsidR="00FA35DE" w:rsidRPr="00FA35DE" w:rsidRDefault="00FA35DE" w:rsidP="00FA35DE">
            <w:pPr>
              <w:jc w:val="both"/>
              <w:rPr>
                <w:rFonts w:ascii="Sylfaen" w:hAnsi="Sylfaen"/>
                <w:bCs/>
                <w:lang w:val="en-GB"/>
              </w:rPr>
            </w:pPr>
          </w:p>
        </w:tc>
        <w:tc>
          <w:tcPr>
            <w:tcW w:w="1530" w:type="dxa"/>
            <w:vMerge/>
            <w:shd w:val="clear" w:color="auto" w:fill="DEEAF6"/>
          </w:tcPr>
          <w:p w14:paraId="7B7E4F73" w14:textId="77777777" w:rsidR="00FA35DE" w:rsidRPr="00FA35DE" w:rsidRDefault="00FA35DE" w:rsidP="00FA35DE">
            <w:pPr>
              <w:jc w:val="both"/>
              <w:rPr>
                <w:rFonts w:ascii="Sylfaen" w:hAnsi="Sylfaen"/>
                <w:bCs/>
                <w:lang w:val="en-GB"/>
              </w:rPr>
            </w:pPr>
          </w:p>
        </w:tc>
      </w:tr>
      <w:tr w:rsidR="002873E8" w:rsidRPr="00822294" w14:paraId="4C0E7ACE" w14:textId="77777777" w:rsidTr="002873E8">
        <w:trPr>
          <w:trHeight w:val="379"/>
        </w:trPr>
        <w:tc>
          <w:tcPr>
            <w:tcW w:w="3369" w:type="dxa"/>
            <w:shd w:val="clear" w:color="auto" w:fill="F6F9FC"/>
          </w:tcPr>
          <w:p w14:paraId="17C57813" w14:textId="77777777" w:rsidR="00FA35DE" w:rsidRPr="00FA35DE" w:rsidRDefault="00FA35DE" w:rsidP="00FA35DE">
            <w:pPr>
              <w:jc w:val="both"/>
              <w:rPr>
                <w:rFonts w:ascii="Sylfaen" w:hAnsi="Sylfaen"/>
                <w:lang w:val="en-GB"/>
              </w:rPr>
            </w:pPr>
            <w:r w:rsidRPr="00FA35DE">
              <w:rPr>
                <w:rFonts w:ascii="Sylfaen" w:hAnsi="Sylfaen"/>
                <w:lang w:val="en-GB"/>
              </w:rPr>
              <w:t>Master Thesis Finalization and Submission</w:t>
            </w:r>
          </w:p>
        </w:tc>
        <w:tc>
          <w:tcPr>
            <w:tcW w:w="3118" w:type="dxa"/>
            <w:shd w:val="clear" w:color="auto" w:fill="DBE5F1" w:themeFill="accent1" w:themeFillTint="33"/>
          </w:tcPr>
          <w:p w14:paraId="0D9C2701" w14:textId="77777777" w:rsidR="00FA35DE" w:rsidRPr="00FA35DE" w:rsidRDefault="00FA35DE" w:rsidP="00FA35DE">
            <w:pPr>
              <w:jc w:val="center"/>
              <w:rPr>
                <w:rFonts w:ascii="Sylfaen" w:hAnsi="Sylfaen"/>
                <w:bCs/>
                <w:lang w:val="en-GB"/>
              </w:rPr>
            </w:pPr>
            <w:r w:rsidRPr="00FA35DE">
              <w:rPr>
                <w:rFonts w:ascii="Sylfaen" w:hAnsi="Sylfaen"/>
                <w:bCs/>
                <w:lang w:val="en-GB"/>
              </w:rPr>
              <w:t>-</w:t>
            </w:r>
          </w:p>
        </w:tc>
        <w:tc>
          <w:tcPr>
            <w:tcW w:w="1588" w:type="dxa"/>
            <w:shd w:val="clear" w:color="auto" w:fill="DAEEF3" w:themeFill="accent5" w:themeFillTint="33"/>
          </w:tcPr>
          <w:p w14:paraId="3A910A62" w14:textId="77777777" w:rsidR="00FA35DE" w:rsidRPr="00FA35DE" w:rsidRDefault="00FA35DE" w:rsidP="00FA35DE">
            <w:pPr>
              <w:jc w:val="both"/>
              <w:rPr>
                <w:rFonts w:ascii="Sylfaen" w:hAnsi="Sylfaen"/>
                <w:bCs/>
                <w:lang w:val="en-GB"/>
              </w:rPr>
            </w:pPr>
            <w:r w:rsidRPr="00FA35DE">
              <w:rPr>
                <w:rFonts w:ascii="Sylfaen" w:hAnsi="Sylfaen"/>
                <w:bCs/>
                <w:lang w:val="en-GB"/>
              </w:rPr>
              <w:t>65-69</w:t>
            </w:r>
          </w:p>
        </w:tc>
        <w:tc>
          <w:tcPr>
            <w:tcW w:w="1418" w:type="dxa"/>
            <w:shd w:val="clear" w:color="auto" w:fill="F6F9FC"/>
          </w:tcPr>
          <w:p w14:paraId="69483434" w14:textId="77777777" w:rsidR="00FA35DE" w:rsidRPr="00FA35DE" w:rsidRDefault="00FA35DE" w:rsidP="00FA35DE">
            <w:pPr>
              <w:jc w:val="both"/>
              <w:rPr>
                <w:rFonts w:ascii="Sylfaen" w:hAnsi="Sylfaen"/>
                <w:bCs/>
                <w:lang w:val="en-GB"/>
              </w:rPr>
            </w:pPr>
            <w:r w:rsidRPr="00FA35DE">
              <w:rPr>
                <w:rFonts w:ascii="Sylfaen" w:hAnsi="Sylfaen"/>
                <w:bCs/>
                <w:lang w:val="en-GB"/>
              </w:rPr>
              <w:t>23/11/2026</w:t>
            </w:r>
          </w:p>
        </w:tc>
        <w:tc>
          <w:tcPr>
            <w:tcW w:w="1530" w:type="dxa"/>
            <w:shd w:val="clear" w:color="auto" w:fill="DEEAF6"/>
          </w:tcPr>
          <w:p w14:paraId="1207B098" w14:textId="77777777" w:rsidR="00FA35DE" w:rsidRPr="00FA35DE" w:rsidRDefault="00FA35DE" w:rsidP="00FA35DE">
            <w:pPr>
              <w:jc w:val="center"/>
              <w:rPr>
                <w:rFonts w:ascii="Sylfaen" w:hAnsi="Sylfaen"/>
                <w:bCs/>
                <w:lang w:val="en-GB"/>
              </w:rPr>
            </w:pPr>
            <w:r w:rsidRPr="00FA35DE">
              <w:rPr>
                <w:rFonts w:ascii="Sylfaen" w:hAnsi="Sylfaen"/>
                <w:bCs/>
                <w:lang w:val="en-GB"/>
              </w:rPr>
              <w:t>-</w:t>
            </w:r>
          </w:p>
        </w:tc>
      </w:tr>
      <w:tr w:rsidR="002873E8" w:rsidRPr="00822294" w14:paraId="74D374E9" w14:textId="77777777" w:rsidTr="002873E8">
        <w:trPr>
          <w:trHeight w:val="379"/>
        </w:trPr>
        <w:tc>
          <w:tcPr>
            <w:tcW w:w="3369" w:type="dxa"/>
            <w:shd w:val="clear" w:color="auto" w:fill="F6F9FC"/>
          </w:tcPr>
          <w:p w14:paraId="628A0487" w14:textId="77777777" w:rsidR="00FA35DE" w:rsidRPr="00FA35DE" w:rsidRDefault="00FA35DE" w:rsidP="00FA35DE">
            <w:pPr>
              <w:jc w:val="both"/>
              <w:rPr>
                <w:rFonts w:ascii="Sylfaen" w:hAnsi="Sylfaen"/>
                <w:lang w:val="en-GB"/>
              </w:rPr>
            </w:pPr>
            <w:r w:rsidRPr="00FA35DE">
              <w:rPr>
                <w:rFonts w:ascii="Sylfaen" w:hAnsi="Sylfaen"/>
                <w:lang w:val="en-GB"/>
              </w:rPr>
              <w:t xml:space="preserve">Master Thesis Submission </w:t>
            </w:r>
          </w:p>
        </w:tc>
        <w:tc>
          <w:tcPr>
            <w:tcW w:w="3118" w:type="dxa"/>
            <w:shd w:val="clear" w:color="auto" w:fill="DBE5F1" w:themeFill="accent1" w:themeFillTint="33"/>
          </w:tcPr>
          <w:p w14:paraId="63DCAB1F" w14:textId="77777777" w:rsidR="00FA35DE" w:rsidRPr="00FA35DE" w:rsidRDefault="00FA35DE" w:rsidP="00FA35DE">
            <w:pPr>
              <w:jc w:val="center"/>
              <w:rPr>
                <w:rFonts w:ascii="Sylfaen" w:hAnsi="Sylfaen"/>
                <w:bCs/>
                <w:lang w:val="en-GB"/>
              </w:rPr>
            </w:pPr>
            <w:r w:rsidRPr="00FA35DE">
              <w:rPr>
                <w:rFonts w:ascii="Sylfaen" w:hAnsi="Sylfaen"/>
                <w:bCs/>
                <w:lang w:val="en-GB"/>
              </w:rPr>
              <w:t>-</w:t>
            </w:r>
          </w:p>
        </w:tc>
        <w:tc>
          <w:tcPr>
            <w:tcW w:w="1588" w:type="dxa"/>
            <w:shd w:val="clear" w:color="auto" w:fill="DAEEF3" w:themeFill="accent5" w:themeFillTint="33"/>
          </w:tcPr>
          <w:p w14:paraId="239DBCAC" w14:textId="77777777" w:rsidR="00FA35DE" w:rsidRPr="00FA35DE" w:rsidRDefault="00FA35DE" w:rsidP="00FA35DE">
            <w:pPr>
              <w:jc w:val="both"/>
              <w:rPr>
                <w:rFonts w:ascii="Sylfaen" w:hAnsi="Sylfaen"/>
                <w:bCs/>
                <w:lang w:val="en-GB"/>
              </w:rPr>
            </w:pPr>
            <w:r w:rsidRPr="00FA35DE">
              <w:rPr>
                <w:rFonts w:ascii="Sylfaen" w:hAnsi="Sylfaen"/>
                <w:bCs/>
                <w:lang w:val="en-GB"/>
              </w:rPr>
              <w:t>69</w:t>
            </w:r>
          </w:p>
        </w:tc>
        <w:tc>
          <w:tcPr>
            <w:tcW w:w="1418" w:type="dxa"/>
            <w:shd w:val="clear" w:color="auto" w:fill="F6F9FC"/>
          </w:tcPr>
          <w:p w14:paraId="755BE859" w14:textId="77777777" w:rsidR="00FA35DE" w:rsidRPr="00FA35DE" w:rsidRDefault="00FA35DE" w:rsidP="00FA35DE">
            <w:pPr>
              <w:jc w:val="both"/>
              <w:rPr>
                <w:rFonts w:ascii="Sylfaen" w:hAnsi="Sylfaen"/>
                <w:bCs/>
                <w:lang w:val="en-GB"/>
              </w:rPr>
            </w:pPr>
            <w:r w:rsidRPr="00FA35DE">
              <w:rPr>
                <w:rFonts w:ascii="Sylfaen" w:hAnsi="Sylfaen"/>
                <w:bCs/>
                <w:lang w:val="en-GB"/>
              </w:rPr>
              <w:t>25/12/2026</w:t>
            </w:r>
          </w:p>
        </w:tc>
        <w:tc>
          <w:tcPr>
            <w:tcW w:w="1530" w:type="dxa"/>
            <w:shd w:val="clear" w:color="auto" w:fill="DEEAF6"/>
          </w:tcPr>
          <w:p w14:paraId="61EDA4AD" w14:textId="77777777" w:rsidR="00FA35DE" w:rsidRPr="00FA35DE" w:rsidRDefault="00FA35DE" w:rsidP="00FA35DE">
            <w:pPr>
              <w:jc w:val="center"/>
              <w:rPr>
                <w:rFonts w:ascii="Sylfaen" w:hAnsi="Sylfaen"/>
                <w:bCs/>
                <w:lang w:val="en-GB"/>
              </w:rPr>
            </w:pPr>
            <w:r w:rsidRPr="00FA35DE">
              <w:rPr>
                <w:rFonts w:ascii="Sylfaen" w:hAnsi="Sylfaen"/>
                <w:bCs/>
                <w:lang w:val="en-GB"/>
              </w:rPr>
              <w:t>-</w:t>
            </w:r>
          </w:p>
        </w:tc>
      </w:tr>
      <w:tr w:rsidR="002873E8" w:rsidRPr="00822294" w14:paraId="63875396" w14:textId="77777777" w:rsidTr="002873E8">
        <w:trPr>
          <w:trHeight w:val="844"/>
        </w:trPr>
        <w:tc>
          <w:tcPr>
            <w:tcW w:w="3369" w:type="dxa"/>
            <w:shd w:val="clear" w:color="auto" w:fill="F6F9FC"/>
          </w:tcPr>
          <w:p w14:paraId="6F38F658" w14:textId="77777777" w:rsidR="00FA35DE" w:rsidRPr="00FA35DE" w:rsidRDefault="00FA35DE" w:rsidP="00FA35DE">
            <w:pPr>
              <w:jc w:val="both"/>
              <w:rPr>
                <w:rFonts w:ascii="Sylfaen" w:hAnsi="Sylfaen"/>
                <w:bCs/>
                <w:lang w:val="hy-AM"/>
              </w:rPr>
            </w:pPr>
            <w:r w:rsidRPr="00FA35DE">
              <w:rPr>
                <w:rFonts w:ascii="Sylfaen" w:hAnsi="Sylfaen"/>
                <w:bCs/>
                <w:lang w:val="hy-AM"/>
              </w:rPr>
              <w:t>Interdisciplinary Computer-Based Exam</w:t>
            </w:r>
          </w:p>
        </w:tc>
        <w:tc>
          <w:tcPr>
            <w:tcW w:w="3118" w:type="dxa"/>
            <w:shd w:val="clear" w:color="auto" w:fill="DBE5F1" w:themeFill="accent1" w:themeFillTint="33"/>
          </w:tcPr>
          <w:p w14:paraId="774F76CA"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shd w:val="clear" w:color="auto" w:fill="DAEEF3" w:themeFill="accent5" w:themeFillTint="33"/>
          </w:tcPr>
          <w:p w14:paraId="3E8D2815"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71-72</w:t>
            </w:r>
          </w:p>
        </w:tc>
        <w:tc>
          <w:tcPr>
            <w:tcW w:w="1418" w:type="dxa"/>
            <w:shd w:val="clear" w:color="auto" w:fill="F6F9FC"/>
          </w:tcPr>
          <w:p w14:paraId="48477B7B"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4/1/2027</w:t>
            </w:r>
          </w:p>
        </w:tc>
        <w:tc>
          <w:tcPr>
            <w:tcW w:w="1530" w:type="dxa"/>
            <w:shd w:val="clear" w:color="auto" w:fill="DEEAF6"/>
          </w:tcPr>
          <w:p w14:paraId="7958ECF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Monday- Friday</w:t>
            </w:r>
          </w:p>
        </w:tc>
      </w:tr>
      <w:tr w:rsidR="002873E8" w:rsidRPr="00822294" w14:paraId="6C62DA38" w14:textId="77777777" w:rsidTr="002873E8">
        <w:trPr>
          <w:trHeight w:val="600"/>
        </w:trPr>
        <w:tc>
          <w:tcPr>
            <w:tcW w:w="3369" w:type="dxa"/>
            <w:shd w:val="clear" w:color="auto" w:fill="F6F9FC"/>
          </w:tcPr>
          <w:p w14:paraId="599E8093" w14:textId="77777777" w:rsidR="00FA35DE" w:rsidRPr="00FA35DE" w:rsidRDefault="00FA35DE" w:rsidP="00FA35DE">
            <w:pPr>
              <w:jc w:val="both"/>
              <w:rPr>
                <w:rFonts w:ascii="Sylfaen" w:hAnsi="Sylfaen"/>
                <w:bCs/>
                <w:lang w:val="hy-AM"/>
              </w:rPr>
            </w:pPr>
            <w:r w:rsidRPr="00FA35DE">
              <w:rPr>
                <w:rFonts w:ascii="Sylfaen" w:hAnsi="Sylfaen"/>
                <w:bCs/>
                <w:lang w:val="en-GB"/>
              </w:rPr>
              <w:t xml:space="preserve">Master Thesis Oral </w:t>
            </w:r>
            <w:proofErr w:type="spellStart"/>
            <w:r w:rsidRPr="00FA35DE">
              <w:rPr>
                <w:rFonts w:ascii="Sylfaen" w:hAnsi="Sylfaen"/>
                <w:bCs/>
                <w:lang w:val="en-GB"/>
              </w:rPr>
              <w:t>Defense</w:t>
            </w:r>
            <w:proofErr w:type="spellEnd"/>
          </w:p>
        </w:tc>
        <w:tc>
          <w:tcPr>
            <w:tcW w:w="3118" w:type="dxa"/>
            <w:shd w:val="clear" w:color="auto" w:fill="DBE5F1" w:themeFill="accent1" w:themeFillTint="33"/>
          </w:tcPr>
          <w:p w14:paraId="30B77480" w14:textId="77777777" w:rsidR="00FA35DE" w:rsidRPr="00FA35DE" w:rsidRDefault="00FA35DE" w:rsidP="00FA35DE">
            <w:pPr>
              <w:jc w:val="both"/>
              <w:rPr>
                <w:rFonts w:ascii="Sylfaen" w:hAnsi="Sylfaen"/>
                <w:bCs/>
                <w:lang w:val="en-GB"/>
              </w:rPr>
            </w:pPr>
            <w:r w:rsidRPr="00FA35DE">
              <w:rPr>
                <w:rFonts w:ascii="Sylfaen" w:hAnsi="Sylfaen"/>
                <w:bCs/>
                <w:lang w:val="en-GB"/>
              </w:rPr>
              <w:t>Morning shift 9.00-14.00</w:t>
            </w:r>
          </w:p>
        </w:tc>
        <w:tc>
          <w:tcPr>
            <w:tcW w:w="1588" w:type="dxa"/>
            <w:shd w:val="clear" w:color="auto" w:fill="DAEEF3" w:themeFill="accent5" w:themeFillTint="33"/>
          </w:tcPr>
          <w:p w14:paraId="08FD17F6" w14:textId="77777777" w:rsidR="00FA35DE" w:rsidRPr="00FA35DE" w:rsidRDefault="00FA35DE" w:rsidP="00FA35DE">
            <w:pPr>
              <w:jc w:val="both"/>
              <w:rPr>
                <w:rFonts w:ascii="Sylfaen" w:hAnsi="Sylfaen"/>
                <w:bCs/>
                <w:lang w:val="en-GB"/>
              </w:rPr>
            </w:pPr>
            <w:r w:rsidRPr="00FA35DE">
              <w:rPr>
                <w:rFonts w:ascii="Sylfaen" w:hAnsi="Sylfaen"/>
                <w:bCs/>
                <w:lang w:val="en-GB"/>
              </w:rPr>
              <w:t>73</w:t>
            </w:r>
          </w:p>
        </w:tc>
        <w:tc>
          <w:tcPr>
            <w:tcW w:w="1418" w:type="dxa"/>
            <w:shd w:val="clear" w:color="auto" w:fill="F6F9FC"/>
          </w:tcPr>
          <w:p w14:paraId="708CFA74"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18/1/2027</w:t>
            </w:r>
          </w:p>
        </w:tc>
        <w:tc>
          <w:tcPr>
            <w:tcW w:w="1530" w:type="dxa"/>
            <w:shd w:val="clear" w:color="auto" w:fill="DEEAF6"/>
          </w:tcPr>
          <w:p w14:paraId="6B7115EB" w14:textId="77777777" w:rsidR="00FA35DE" w:rsidRPr="00FA35DE" w:rsidRDefault="00FA35DE" w:rsidP="00FA35DE">
            <w:pPr>
              <w:jc w:val="both"/>
              <w:rPr>
                <w:rFonts w:ascii="Sylfaen" w:hAnsi="Sylfaen"/>
                <w:bCs/>
                <w:color w:val="767171"/>
                <w:lang w:val="hy-AM"/>
              </w:rPr>
            </w:pPr>
            <w:r w:rsidRPr="00FA35DE">
              <w:rPr>
                <w:rFonts w:ascii="Sylfaen" w:hAnsi="Sylfaen"/>
                <w:bCs/>
                <w:lang w:val="en-GB"/>
              </w:rPr>
              <w:t xml:space="preserve">Monday-Friday </w:t>
            </w:r>
          </w:p>
        </w:tc>
      </w:tr>
      <w:tr w:rsidR="00FA35DE" w:rsidRPr="00ED06FB" w14:paraId="581218D5" w14:textId="77777777" w:rsidTr="00FA35DE">
        <w:trPr>
          <w:trHeight w:val="172"/>
        </w:trPr>
        <w:tc>
          <w:tcPr>
            <w:tcW w:w="11023" w:type="dxa"/>
            <w:gridSpan w:val="5"/>
            <w:shd w:val="clear" w:color="auto" w:fill="B6DDE8" w:themeFill="accent5" w:themeFillTint="66"/>
          </w:tcPr>
          <w:p w14:paraId="275A8E4E" w14:textId="77777777" w:rsidR="00FA35DE" w:rsidRPr="00FA35DE" w:rsidRDefault="00FA35DE" w:rsidP="00FA35DE">
            <w:pPr>
              <w:jc w:val="center"/>
              <w:rPr>
                <w:rFonts w:ascii="Sylfaen" w:hAnsi="Sylfaen"/>
                <w:bCs/>
                <w:color w:val="767171"/>
                <w:lang w:val="hy-AM"/>
              </w:rPr>
            </w:pPr>
            <w:r w:rsidRPr="00FA35DE">
              <w:rPr>
                <w:rFonts w:ascii="Sylfaen" w:hAnsi="Sylfaen"/>
                <w:bCs/>
                <w:lang w:val="en-GB"/>
              </w:rPr>
              <w:t>New Year Holiday - Teaching Week 70, Week starting 28</w:t>
            </w:r>
            <w:r w:rsidRPr="00FA35DE">
              <w:rPr>
                <w:rFonts w:ascii="Sylfaen" w:hAnsi="Sylfaen"/>
                <w:bCs/>
                <w:lang w:val="hy-AM"/>
              </w:rPr>
              <w:t>/12 202</w:t>
            </w:r>
            <w:r w:rsidRPr="00FA35DE">
              <w:rPr>
                <w:rFonts w:ascii="Sylfaen" w:hAnsi="Sylfaen"/>
                <w:bCs/>
                <w:lang w:val="en-GB"/>
              </w:rPr>
              <w:t>6</w:t>
            </w:r>
          </w:p>
        </w:tc>
      </w:tr>
      <w:tr w:rsidR="00FA35DE" w:rsidRPr="00ED06FB" w14:paraId="096F7FED" w14:textId="77777777" w:rsidTr="00FA35DE">
        <w:trPr>
          <w:trHeight w:val="140"/>
        </w:trPr>
        <w:tc>
          <w:tcPr>
            <w:tcW w:w="11023" w:type="dxa"/>
            <w:gridSpan w:val="5"/>
            <w:shd w:val="clear" w:color="auto" w:fill="B6DDE8" w:themeFill="accent5" w:themeFillTint="66"/>
          </w:tcPr>
          <w:p w14:paraId="494F7CB1" w14:textId="77777777" w:rsidR="00FA35DE" w:rsidRPr="00FA35DE" w:rsidRDefault="00FA35DE" w:rsidP="00FA35DE">
            <w:pPr>
              <w:jc w:val="center"/>
              <w:rPr>
                <w:rFonts w:ascii="Sylfaen" w:hAnsi="Sylfaen"/>
                <w:bCs/>
                <w:lang w:val="en-GB"/>
              </w:rPr>
            </w:pPr>
            <w:r w:rsidRPr="00FA35DE">
              <w:rPr>
                <w:rFonts w:ascii="Sylfaen" w:hAnsi="Sylfaen"/>
                <w:bCs/>
                <w:lang w:val="en-GB"/>
              </w:rPr>
              <w:t>The first and second re-sit sessions are administered during the academic semester in accordance with the schedule established by the Dean’s Office.</w:t>
            </w:r>
          </w:p>
        </w:tc>
      </w:tr>
    </w:tbl>
    <w:p w14:paraId="06DA0C35" w14:textId="77777777" w:rsidR="001A3C5B" w:rsidRPr="00916805" w:rsidRDefault="001A3C5B" w:rsidP="001A3C5B">
      <w:pPr>
        <w:tabs>
          <w:tab w:val="left" w:pos="3960"/>
        </w:tabs>
        <w:spacing w:after="0"/>
        <w:rPr>
          <w:rFonts w:ascii="Sylfaen" w:eastAsia="Times New Roman" w:hAnsi="Sylfaen" w:cs="Times New Roman"/>
          <w:lang w:val="en-US"/>
        </w:rPr>
      </w:pPr>
      <w:r w:rsidRPr="00916805">
        <w:rPr>
          <w:rFonts w:ascii="Sylfaen" w:eastAsia="Times New Roman" w:hAnsi="Sylfaen" w:cs="Times New Roman"/>
          <w:lang w:val="en-US"/>
        </w:rPr>
        <w:t xml:space="preserve">*One of the elective courses must be chosen: </w:t>
      </w:r>
    </w:p>
    <w:bookmarkEnd w:id="24"/>
    <w:p w14:paraId="7613017A" w14:textId="280B786D" w:rsidR="001A3C5B" w:rsidRPr="00916805" w:rsidRDefault="001A3C5B" w:rsidP="001A3C5B">
      <w:pPr>
        <w:tabs>
          <w:tab w:val="left" w:pos="3960"/>
        </w:tabs>
        <w:spacing w:after="0"/>
        <w:rPr>
          <w:rFonts w:ascii="Sylfaen" w:eastAsia="Times New Roman" w:hAnsi="Sylfaen" w:cs="Times New Roman"/>
          <w:lang w:val="en-US"/>
        </w:rPr>
      </w:pPr>
      <w:r w:rsidRPr="00916805">
        <w:rPr>
          <w:rFonts w:ascii="Sylfaen" w:eastAsia="Times New Roman" w:hAnsi="Sylfaen" w:cs="Times New Roman"/>
          <w:lang w:val="en-US"/>
        </w:rPr>
        <w:t xml:space="preserve">1. Global Health </w:t>
      </w:r>
    </w:p>
    <w:p w14:paraId="10FB6F2C" w14:textId="143796F7" w:rsidR="00B6446B" w:rsidRDefault="001A3C5B" w:rsidP="00B6446B">
      <w:pPr>
        <w:tabs>
          <w:tab w:val="left" w:pos="3960"/>
        </w:tabs>
        <w:spacing w:after="0"/>
        <w:rPr>
          <w:rFonts w:ascii="Sylfaen" w:eastAsia="Times New Roman" w:hAnsi="Sylfaen" w:cs="Times New Roman"/>
          <w:lang w:val="en-US"/>
        </w:rPr>
      </w:pPr>
      <w:r w:rsidRPr="00916805">
        <w:rPr>
          <w:rFonts w:ascii="Sylfaen" w:eastAsia="Times New Roman" w:hAnsi="Sylfaen" w:cs="Times New Roman"/>
          <w:lang w:val="en-US"/>
        </w:rPr>
        <w:t>2. Healthcare in Emergencies</w:t>
      </w:r>
    </w:p>
    <w:p w14:paraId="4A62463B" w14:textId="77777777" w:rsidR="00B6446B" w:rsidRDefault="00B6446B" w:rsidP="00B6446B">
      <w:pPr>
        <w:tabs>
          <w:tab w:val="left" w:pos="3960"/>
        </w:tabs>
        <w:spacing w:after="0"/>
        <w:rPr>
          <w:rFonts w:ascii="Sylfaen" w:eastAsia="Times New Roman" w:hAnsi="Sylfaen" w:cs="Times New Roman"/>
          <w:lang w:val="en-US"/>
        </w:rPr>
      </w:pPr>
      <w:r>
        <w:rPr>
          <w:rFonts w:ascii="Sylfaen" w:eastAsia="Times New Roman" w:hAnsi="Sylfaen" w:cs="Times New Roman"/>
          <w:lang w:val="en-US"/>
        </w:rPr>
        <w:t>3. Violence and Injury Prevention</w:t>
      </w:r>
    </w:p>
    <w:p w14:paraId="541E708F" w14:textId="085DD6D5" w:rsidR="00B6446B" w:rsidRPr="00916805" w:rsidRDefault="00B6446B" w:rsidP="00B6446B">
      <w:pPr>
        <w:tabs>
          <w:tab w:val="left" w:pos="3960"/>
        </w:tabs>
        <w:spacing w:after="0"/>
        <w:rPr>
          <w:rFonts w:ascii="Sylfaen" w:eastAsia="Times New Roman" w:hAnsi="Sylfaen" w:cs="Times New Roman"/>
          <w:lang w:val="en-US"/>
        </w:rPr>
      </w:pPr>
      <w:r>
        <w:rPr>
          <w:rFonts w:ascii="Sylfaen" w:eastAsia="Times New Roman" w:hAnsi="Sylfaen" w:cs="Times New Roman"/>
          <w:lang w:val="en-US"/>
        </w:rPr>
        <w:t xml:space="preserve">4. </w:t>
      </w:r>
      <w:r w:rsidRPr="00916805">
        <w:rPr>
          <w:rFonts w:ascii="Sylfaen" w:eastAsia="Times New Roman" w:hAnsi="Sylfaen" w:cs="Times New Roman"/>
          <w:lang w:val="en-US"/>
        </w:rPr>
        <w:t>Strengthening Healthcare System</w:t>
      </w:r>
    </w:p>
    <w:p w14:paraId="09A9A278" w14:textId="77777777" w:rsidR="00B6446B" w:rsidRPr="00916805" w:rsidRDefault="00B6446B" w:rsidP="001A3C5B">
      <w:pPr>
        <w:tabs>
          <w:tab w:val="left" w:pos="3960"/>
        </w:tabs>
        <w:spacing w:after="0"/>
        <w:rPr>
          <w:rFonts w:ascii="Sylfaen" w:eastAsia="Times New Roman" w:hAnsi="Sylfaen" w:cs="Times New Roman"/>
          <w:lang w:val="en-US"/>
        </w:rPr>
      </w:pPr>
    </w:p>
    <w:p w14:paraId="343DE28B" w14:textId="509C39CE" w:rsidR="001A3C5B" w:rsidRDefault="006B3020" w:rsidP="00FF1C13">
      <w:pPr>
        <w:pStyle w:val="Heading1"/>
        <w:jc w:val="center"/>
        <w:rPr>
          <w:rFonts w:eastAsia="Calibri"/>
          <w:lang w:val="en-US" w:eastAsia="en-US"/>
        </w:rPr>
      </w:pPr>
      <w:r w:rsidRPr="00916805">
        <w:rPr>
          <w:rFonts w:eastAsia="Calibri"/>
          <w:lang w:val="en-US" w:eastAsia="en-US"/>
        </w:rPr>
        <w:br w:type="page"/>
      </w:r>
      <w:bookmarkStart w:id="26" w:name="_Course_descriptions"/>
      <w:bookmarkStart w:id="27" w:name="_Toc207988634"/>
      <w:bookmarkEnd w:id="26"/>
      <w:r w:rsidR="002133F8" w:rsidRPr="002133F8">
        <w:rPr>
          <w:rFonts w:eastAsia="Calibri"/>
          <w:lang w:val="en-US" w:eastAsia="en-US"/>
        </w:rPr>
        <w:lastRenderedPageBreak/>
        <w:t>COURSE DESCRIPTIONS</w:t>
      </w:r>
      <w:bookmarkEnd w:id="27"/>
    </w:p>
    <w:p w14:paraId="1E641F8A" w14:textId="77777777" w:rsidR="002133F8" w:rsidRPr="002133F8" w:rsidRDefault="002133F8" w:rsidP="002133F8">
      <w:pPr>
        <w:spacing w:after="0" w:line="240" w:lineRule="auto"/>
        <w:jc w:val="center"/>
        <w:rPr>
          <w:rFonts w:ascii="Sylfaen" w:eastAsia="Calibri" w:hAnsi="Sylfaen" w:cs="Times New Roman"/>
          <w:b/>
          <w:bCs/>
          <w:i/>
          <w:iCs/>
          <w:color w:val="4F81BD" w:themeColor="accent1"/>
          <w:kern w:val="2"/>
          <w:lang w:val="en-US" w:eastAsia="en-US"/>
        </w:rPr>
      </w:pPr>
    </w:p>
    <w:p w14:paraId="4528AC16" w14:textId="17510433" w:rsidR="001A3C5B" w:rsidRPr="00916805" w:rsidRDefault="001A3C5B" w:rsidP="002133F8">
      <w:pPr>
        <w:spacing w:after="0"/>
        <w:jc w:val="both"/>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Problem Solving Paradigm in Public Health </w:t>
      </w:r>
      <w:bookmarkStart w:id="28" w:name="_Hlk207989339"/>
      <w:r w:rsidR="00E63A5D">
        <w:rPr>
          <w:rFonts w:ascii="Sylfaen" w:eastAsia="Calibri" w:hAnsi="Sylfaen" w:cs="Times New Roman"/>
          <w:b/>
          <w:bCs/>
          <w:i/>
          <w:iCs/>
          <w:color w:val="4F81BD" w:themeColor="accent1"/>
          <w:kern w:val="2"/>
          <w:u w:val="single"/>
          <w:lang w:val="en-US" w:eastAsia="en-US"/>
        </w:rPr>
        <w:t>(3 credits)</w:t>
      </w:r>
    </w:p>
    <w:bookmarkEnd w:id="28"/>
    <w:p w14:paraId="2C5AA918" w14:textId="77777777" w:rsidR="009C2E4A" w:rsidRDefault="00822294" w:rsidP="002133F8">
      <w:pPr>
        <w:spacing w:after="0"/>
        <w:jc w:val="both"/>
        <w:rPr>
          <w:rFonts w:ascii="Sylfaen" w:eastAsia="Calibri" w:hAnsi="Sylfaen" w:cs="Times New Roman"/>
          <w:kern w:val="2"/>
          <w:lang w:val="en-US" w:eastAsia="en-US"/>
        </w:rPr>
      </w:pPr>
      <w:r w:rsidRPr="00822294">
        <w:rPr>
          <w:rFonts w:ascii="Sylfaen" w:eastAsia="Calibri" w:hAnsi="Sylfaen" w:cs="Times New Roman"/>
          <w:kern w:val="2"/>
          <w:lang w:val="en-US" w:eastAsia="en-US"/>
        </w:rPr>
        <w:t>This module introduces students to structured approaches for analyzing and addressing complex public health problems, with a strong emphasis on systems thinking, root cause analysis, and evidence-based decision-making. Students learn to apply analytical tools such as problem trees, logic models, and prioritization matrices to define issues, identify determinants, and develop feasible solution strategies. Through case-based learning, with examples drawn from Armenia and global health, the module emphasizes stakeholder engagement, option appraisal, and integration of national policy priorities and data systems into decision-making processes. By the end of the module, students will be equipped to design and communicate contextually relevant, ethically grounded, and actionable recommendations for improving</w:t>
      </w:r>
    </w:p>
    <w:p w14:paraId="59A29013" w14:textId="77777777" w:rsidR="00ED06FB" w:rsidRDefault="00822294" w:rsidP="00ED06FB">
      <w:pPr>
        <w:spacing w:after="0"/>
        <w:rPr>
          <w:rFonts w:ascii="Sylfaen" w:eastAsia="Calibri" w:hAnsi="Sylfaen" w:cs="Times New Roman"/>
          <w:kern w:val="2"/>
          <w:lang w:val="en-US" w:eastAsia="en-US"/>
        </w:rPr>
      </w:pPr>
      <w:r w:rsidRPr="00822294">
        <w:rPr>
          <w:rFonts w:ascii="Sylfaen" w:eastAsia="Calibri" w:hAnsi="Sylfaen" w:cs="Times New Roman"/>
          <w:kern w:val="2"/>
          <w:lang w:val="en-US" w:eastAsia="en-US"/>
        </w:rPr>
        <w:t>public health practice.</w:t>
      </w:r>
    </w:p>
    <w:p w14:paraId="30AF89A4" w14:textId="1E83E0C6" w:rsidR="00FE7E26" w:rsidRPr="00FE7E26" w:rsidRDefault="00FE7E26" w:rsidP="00FE7E26">
      <w:pPr>
        <w:spacing w:after="0" w:line="240" w:lineRule="auto"/>
        <w:contextualSpacing/>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 xml:space="preserve">Learning competences / objectives </w:t>
      </w:r>
    </w:p>
    <w:p w14:paraId="5940296D" w14:textId="557C7D3F" w:rsidR="00FE7E26" w:rsidRPr="007B70FC" w:rsidRDefault="00FE7E26" w:rsidP="007B70FC">
      <w:pPr>
        <w:pStyle w:val="bullet"/>
      </w:pPr>
      <w:r w:rsidRPr="007B70FC">
        <w:t>Demonstrate critical understanding of structured approaches to public health problem solving, including systems thinking, root cause analysis, and evidence-based decision frameworks.</w:t>
      </w:r>
    </w:p>
    <w:p w14:paraId="0D821411" w14:textId="5AC05385" w:rsidR="00FE7E26" w:rsidRPr="007B70FC" w:rsidRDefault="00FE7E26" w:rsidP="007B70FC">
      <w:pPr>
        <w:pStyle w:val="bullet"/>
      </w:pPr>
      <w:r w:rsidRPr="007B70FC">
        <w:t>Apply stepwise methodologies and analytical tools to define, assess, and address complex public health problems using diverse sources of evidence.</w:t>
      </w:r>
    </w:p>
    <w:p w14:paraId="52487F01" w14:textId="0B3915D2" w:rsidR="00FE7E26" w:rsidRPr="007B70FC" w:rsidRDefault="00FE7E26" w:rsidP="007B70FC">
      <w:pPr>
        <w:pStyle w:val="bullet"/>
      </w:pPr>
      <w:r w:rsidRPr="007B70FC">
        <w:t>Identify key determinants of public health challenges and formulate clear, well-structured problem statements and feasible solution strategies.</w:t>
      </w:r>
    </w:p>
    <w:p w14:paraId="423D375C" w14:textId="15EF8151" w:rsidR="00FE7E26" w:rsidRPr="007B70FC" w:rsidRDefault="00FE7E26" w:rsidP="007B70FC">
      <w:pPr>
        <w:pStyle w:val="bullet"/>
      </w:pPr>
      <w:r w:rsidRPr="007B70FC">
        <w:t>Engage relevant stakeholders across sectors and settings, and communicate proposed solutions effectively, ethically, and contextually.</w:t>
      </w:r>
    </w:p>
    <w:p w14:paraId="418190C6" w14:textId="2A4F9319" w:rsidR="00FE7E26" w:rsidRPr="007B70FC" w:rsidRDefault="00FE7E26" w:rsidP="007B70FC">
      <w:pPr>
        <w:pStyle w:val="bullet"/>
      </w:pPr>
      <w:r w:rsidRPr="007B70FC">
        <w:t>Demonstrate insight into the political, institutional, and resource-related considerations influencing public health decision-making, particularly within Armenia’s health system.</w:t>
      </w:r>
    </w:p>
    <w:p w14:paraId="229BD94B" w14:textId="77777777" w:rsidR="00FE7E26" w:rsidRPr="00FE7E26" w:rsidRDefault="00FE7E26" w:rsidP="00FE7E26">
      <w:pPr>
        <w:spacing w:after="0" w:line="240" w:lineRule="auto"/>
        <w:contextualSpacing/>
        <w:rPr>
          <w:rFonts w:ascii="Sylfaen" w:eastAsia="Calibri" w:hAnsi="Sylfaen" w:cs="Times New Roman"/>
          <w:kern w:val="2"/>
          <w:lang w:val="en-US" w:eastAsia="en-US"/>
        </w:rPr>
      </w:pPr>
    </w:p>
    <w:p w14:paraId="4FEBD229" w14:textId="5CF2A0AE" w:rsidR="00FE7E26" w:rsidRPr="00FE7E26" w:rsidRDefault="00FE7E26" w:rsidP="00FE7E26">
      <w:pPr>
        <w:spacing w:after="0" w:line="240" w:lineRule="auto"/>
        <w:contextualSpacing/>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Syllabus content</w:t>
      </w:r>
    </w:p>
    <w:p w14:paraId="24EA466A" w14:textId="5E8A3F4E" w:rsidR="00FE7E26" w:rsidRPr="007B70FC" w:rsidRDefault="00FE7E26" w:rsidP="007B70FC">
      <w:pPr>
        <w:pStyle w:val="bullet"/>
      </w:pPr>
      <w:r w:rsidRPr="007B70FC">
        <w:t>Structured problem-solving frameworks in public health: stages of analysis, systems thinking, and decision-making under uncertainty.</w:t>
      </w:r>
    </w:p>
    <w:p w14:paraId="4A9C09FA" w14:textId="6F4DCD5A" w:rsidR="00FE7E26" w:rsidRPr="007B70FC" w:rsidRDefault="00FE7E26" w:rsidP="007B70FC">
      <w:pPr>
        <w:pStyle w:val="bullet"/>
      </w:pPr>
      <w:r w:rsidRPr="007B70FC">
        <w:t>Tools and techniques: problem trees, fishbone (Ishikawa) diagrams, force field analysis, logic models, and prioritization matrices.</w:t>
      </w:r>
    </w:p>
    <w:p w14:paraId="5F37A1DF" w14:textId="09D1D753" w:rsidR="00FE7E26" w:rsidRPr="007B70FC" w:rsidRDefault="00FE7E26" w:rsidP="007B70FC">
      <w:pPr>
        <w:pStyle w:val="bullet"/>
      </w:pPr>
      <w:r w:rsidRPr="007B70FC">
        <w:t>Defining problems and identifying causal pathways using epidemiological, behavioral, qualitative, and institutional data.</w:t>
      </w:r>
    </w:p>
    <w:p w14:paraId="7449D0FC" w14:textId="7EDEB05A" w:rsidR="00FE7E26" w:rsidRPr="007B70FC" w:rsidRDefault="00FE7E26" w:rsidP="007B70FC">
      <w:pPr>
        <w:pStyle w:val="bullet"/>
      </w:pPr>
      <w:r w:rsidRPr="007B70FC">
        <w:t>Stakeholder analysis and engagement strategies, with examples from Armenia’s Ministry of Health, National Institute of Health, and civil society actors.</w:t>
      </w:r>
    </w:p>
    <w:p w14:paraId="4EE33FBE" w14:textId="23D4E448" w:rsidR="00FE7E26" w:rsidRPr="007B70FC" w:rsidRDefault="00FE7E26" w:rsidP="007B70FC">
      <w:pPr>
        <w:pStyle w:val="bullet"/>
      </w:pPr>
      <w:r w:rsidRPr="007B70FC">
        <w:t>Criteria-based option appraisal: feasibility, equity, cost-effectiveness, sustainability, and cultural appropriateness.</w:t>
      </w:r>
    </w:p>
    <w:p w14:paraId="7F1140F3" w14:textId="347EB389" w:rsidR="00FE7E26" w:rsidRPr="007B70FC" w:rsidRDefault="00FE7E26" w:rsidP="007B70FC">
      <w:pPr>
        <w:pStyle w:val="bullet"/>
      </w:pPr>
      <w:r w:rsidRPr="007B70FC">
        <w:t>Application of structured methods to real-world cases from Armenia and global health (e.g., maternal health access, vaccination uptake, service equity).</w:t>
      </w:r>
    </w:p>
    <w:p w14:paraId="53F59DD1" w14:textId="3749518C" w:rsidR="00FE7E26" w:rsidRPr="007B70FC" w:rsidRDefault="00FE7E26" w:rsidP="007B70FC">
      <w:pPr>
        <w:pStyle w:val="bullet"/>
      </w:pPr>
      <w:r w:rsidRPr="007B70FC">
        <w:t>Integration of Armenian health policy priorities and data systems (e.g., HSPA reports, surveillance data) into decision-making processes.</w:t>
      </w:r>
    </w:p>
    <w:p w14:paraId="10B4385D" w14:textId="5DBDCF5A" w:rsidR="00FE7E26" w:rsidRPr="007B70FC" w:rsidRDefault="00FE7E26" w:rsidP="007B70FC">
      <w:pPr>
        <w:pStyle w:val="bullet"/>
      </w:pPr>
      <w:r w:rsidRPr="007B70FC">
        <w:t>Communicating solutions and leading change: development of actionable, evidence-informed recommendations tailored to local public health contexts.</w:t>
      </w:r>
    </w:p>
    <w:p w14:paraId="6CE30EAA" w14:textId="77777777" w:rsidR="00FE7E26" w:rsidRPr="00FE7E26" w:rsidRDefault="00FE7E26" w:rsidP="00FE7E26">
      <w:pPr>
        <w:spacing w:after="0" w:line="240" w:lineRule="auto"/>
        <w:contextualSpacing/>
        <w:rPr>
          <w:rFonts w:ascii="Sylfaen" w:eastAsia="Calibri" w:hAnsi="Sylfaen" w:cs="Times New Roman"/>
          <w:kern w:val="2"/>
          <w:lang w:val="en-US" w:eastAsia="en-US"/>
        </w:rPr>
      </w:pPr>
    </w:p>
    <w:p w14:paraId="5DB68984" w14:textId="2D632055" w:rsidR="00FE7E26" w:rsidRPr="00FE7E26" w:rsidRDefault="00FE7E26" w:rsidP="00FE7E26">
      <w:pPr>
        <w:spacing w:after="0" w:line="240" w:lineRule="auto"/>
        <w:contextualSpacing/>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lastRenderedPageBreak/>
        <w:t>Reading materials associated with the module.</w:t>
      </w:r>
      <w:r w:rsidRPr="00FE7E26">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5D59804B" w14:textId="77777777" w:rsidR="00FE7E26" w:rsidRPr="00FE7E26" w:rsidRDefault="00FE7E26" w:rsidP="007B70FC">
      <w:pPr>
        <w:pStyle w:val="bullet"/>
      </w:pPr>
      <w:r w:rsidRPr="00FE7E26">
        <w:t>Fraser, M.R., 2012. Problem-Solving and Decision-Making Skills for Public Health Practice, 2nd ed., Jossey-Bass.</w:t>
      </w:r>
    </w:p>
    <w:p w14:paraId="694FC700" w14:textId="77777777" w:rsidR="00FE7E26" w:rsidRPr="00FE7E26" w:rsidRDefault="00FE7E26" w:rsidP="007B70FC">
      <w:pPr>
        <w:pStyle w:val="bullet"/>
      </w:pPr>
      <w:r w:rsidRPr="00FE7E26">
        <w:t>Schneider, M.-J. &amp; Schneider, H.S., 2021. Introduction to Public Health. 6th ed. Burlington, MA: Jones &amp; Bartlett</w:t>
      </w:r>
    </w:p>
    <w:p w14:paraId="69DAACE4" w14:textId="77777777" w:rsidR="00FE7E26" w:rsidRPr="00FE7E26" w:rsidRDefault="00FE7E26" w:rsidP="007B70FC">
      <w:pPr>
        <w:pStyle w:val="bullet"/>
      </w:pPr>
      <w:r w:rsidRPr="00FE7E26">
        <w:t>World Health Organization (2017). Strategizing National Health in the 21st Century: A Handbook.</w:t>
      </w:r>
    </w:p>
    <w:p w14:paraId="05278F5B" w14:textId="77777777" w:rsidR="00FE7E26" w:rsidRPr="00FE7E26" w:rsidRDefault="00FE7E26" w:rsidP="007B70FC">
      <w:pPr>
        <w:pStyle w:val="bullet"/>
      </w:pPr>
      <w:r w:rsidRPr="00FE7E26">
        <w:t>https://www.who.int/publications/i/item/strategizing-national-health-in-the-21st-century-a-handbook</w:t>
      </w:r>
    </w:p>
    <w:p w14:paraId="5054E4B4" w14:textId="77777777" w:rsidR="00FE7E26" w:rsidRPr="00FE7E26" w:rsidRDefault="00FE7E26" w:rsidP="007B70FC">
      <w:pPr>
        <w:pStyle w:val="bullet"/>
      </w:pPr>
      <w:r w:rsidRPr="00FE7E26">
        <w:t>Marmot, M. &amp; Wilkinson, R.G., 2006. Social Determinants of Health: A Comparative Approach, Oxford University Press.</w:t>
      </w:r>
    </w:p>
    <w:p w14:paraId="405E0BA0" w14:textId="77777777" w:rsidR="00FE7E26" w:rsidRPr="00FE7E26" w:rsidRDefault="00FE7E26" w:rsidP="007B70FC">
      <w:pPr>
        <w:pStyle w:val="bullet"/>
      </w:pPr>
      <w:r w:rsidRPr="00FE7E26">
        <w:t>Armenian Ministry of Health, 2022. National Health Strategy 2022–2026 and Health System Performance Assessment (HSPA) Reports. https://moh.am</w:t>
      </w:r>
    </w:p>
    <w:p w14:paraId="1DF3A739" w14:textId="77777777" w:rsidR="00FE7E26" w:rsidRPr="00FE7E26" w:rsidRDefault="00FE7E26" w:rsidP="007B70FC">
      <w:pPr>
        <w:pStyle w:val="bullet"/>
      </w:pPr>
      <w:r w:rsidRPr="00FE7E26">
        <w:t>Armenian National Institute of Health (NIH), Annual. Public Health Bulletins and Research Outputs. https://nih.am/am</w:t>
      </w:r>
    </w:p>
    <w:p w14:paraId="2762E570" w14:textId="77777777" w:rsidR="00FE7E26" w:rsidRPr="00FE7E26" w:rsidRDefault="00FE7E26" w:rsidP="00FE7E26">
      <w:pPr>
        <w:spacing w:after="0" w:line="240" w:lineRule="auto"/>
        <w:contextualSpacing/>
        <w:rPr>
          <w:rFonts w:ascii="Cambria" w:eastAsia="Calibri" w:hAnsi="Cambria" w:cs="Times New Roman"/>
          <w:sz w:val="24"/>
          <w:lang w:val="en-GB" w:eastAsia="en-US"/>
        </w:rPr>
      </w:pPr>
    </w:p>
    <w:p w14:paraId="28F9FD97" w14:textId="4EDC2423" w:rsidR="00FE7E26" w:rsidRPr="00FE7E26" w:rsidRDefault="00FE7E26" w:rsidP="00FE7E26">
      <w:pPr>
        <w:spacing w:after="0" w:line="240" w:lineRule="auto"/>
        <w:contextualSpacing/>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Assessments used</w:t>
      </w:r>
    </w:p>
    <w:p w14:paraId="198252B1"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summative assessment for this module includes two components:</w:t>
      </w:r>
    </w:p>
    <w:p w14:paraId="37AB09B2"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A: Oral presentation (50% weighting)</w:t>
      </w:r>
    </w:p>
    <w:p w14:paraId="379FD0C0"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B: 3000-word written assignment (50% weighting)</w:t>
      </w:r>
    </w:p>
    <w:p w14:paraId="09181C7C"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Oral Presentation – Students are required to present a complex public health problem and apply a structured problem-solving framework to propose actionable, evidence-based solutions. The 15-minute presentation, supported by PowerPoint slides, must demonstrate analytical thinking, use of decision-making tools, stakeholder engagement strategies, and justification of proposed interventions.</w:t>
      </w:r>
    </w:p>
    <w:p w14:paraId="7D098681"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Written Assignment – Students work in groups and must submit a written assignment that expands on the content of the presentation, providing a detailed analysis of the public health issue, the rationale behind selected problem-solving approaches, and the feasibility of proposed solutions. The written assignment should reflect clear structure, critical thinking, and use of relevant literature and data.</w:t>
      </w:r>
    </w:p>
    <w:p w14:paraId="7179EB50"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Assessment evaluates students’ ability to identify and articulate a public health problem, apply systematic reasoning, justify interventions, and communicate their findings effectively in both written and oral formats.</w:t>
      </w:r>
    </w:p>
    <w:p w14:paraId="6D453DFE" w14:textId="77777777" w:rsidR="00FE7E26" w:rsidRPr="00FE7E26" w:rsidRDefault="00FE7E26" w:rsidP="00FE7E26">
      <w:pPr>
        <w:spacing w:after="0" w:line="240" w:lineRule="auto"/>
        <w:contextualSpacing/>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Formative assessment includes small-group problem-solving sessions, case study debriefings, and Q&amp;A discussions, which support students in applying analytical tools and refining their reasoning and communication skills in preparation for the summative assessments.</w:t>
      </w:r>
    </w:p>
    <w:p w14:paraId="2EE2B089" w14:textId="77777777" w:rsidR="00ED06FB" w:rsidRPr="00ED06FB" w:rsidRDefault="00ED06FB" w:rsidP="00ED06FB">
      <w:pPr>
        <w:spacing w:after="0" w:line="240" w:lineRule="auto"/>
        <w:contextualSpacing/>
        <w:rPr>
          <w:rFonts w:ascii="Cambria" w:eastAsia="Calibri" w:hAnsi="Cambria" w:cs="Times New Roman"/>
          <w:sz w:val="24"/>
          <w:lang w:val="en-GB" w:eastAsia="en-US"/>
        </w:rPr>
      </w:pPr>
    </w:p>
    <w:p w14:paraId="7F39659D" w14:textId="3F0A71C5" w:rsidR="001A3C5B" w:rsidRPr="00916805" w:rsidRDefault="001A3C5B" w:rsidP="00ED06FB">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kern w:val="2"/>
          <w:lang w:val="en-US" w:eastAsia="en-US"/>
        </w:rPr>
        <w:br/>
      </w:r>
      <w:r w:rsidRPr="00916805">
        <w:rPr>
          <w:rFonts w:ascii="Sylfaen" w:eastAsia="Calibri" w:hAnsi="Sylfaen" w:cs="Times New Roman"/>
          <w:b/>
          <w:bCs/>
          <w:i/>
          <w:iCs/>
          <w:color w:val="4F81BD" w:themeColor="accent1"/>
          <w:kern w:val="2"/>
          <w:u w:val="single"/>
          <w:lang w:val="en-US" w:eastAsia="en-US"/>
        </w:rPr>
        <w:t xml:space="preserve">Data Management </w:t>
      </w:r>
      <w:r w:rsidR="00E63A5D">
        <w:rPr>
          <w:rFonts w:ascii="Sylfaen" w:eastAsia="Calibri" w:hAnsi="Sylfaen" w:cs="Times New Roman"/>
          <w:b/>
          <w:bCs/>
          <w:i/>
          <w:iCs/>
          <w:color w:val="4F81BD" w:themeColor="accent1"/>
          <w:kern w:val="2"/>
          <w:u w:val="single"/>
          <w:lang w:val="en-US" w:eastAsia="en-US"/>
        </w:rPr>
        <w:t>(3 credits)</w:t>
      </w:r>
    </w:p>
    <w:p w14:paraId="57FC38D6" w14:textId="64636D0F" w:rsidR="001A3C5B" w:rsidRDefault="00822294" w:rsidP="002133F8">
      <w:pPr>
        <w:spacing w:after="0"/>
        <w:jc w:val="both"/>
        <w:rPr>
          <w:rFonts w:ascii="Sylfaen" w:eastAsia="Calibri" w:hAnsi="Sylfaen" w:cs="Times New Roman"/>
          <w:kern w:val="2"/>
          <w:lang w:val="en-US" w:eastAsia="en-US"/>
        </w:rPr>
      </w:pPr>
      <w:r w:rsidRPr="00822294">
        <w:rPr>
          <w:rFonts w:ascii="Sylfaen" w:eastAsia="Calibri" w:hAnsi="Sylfaen" w:cs="Times New Roman"/>
          <w:kern w:val="2"/>
          <w:lang w:val="en-US" w:eastAsia="en-US"/>
        </w:rPr>
        <w:t>This module provides students with a comprehensive introduction to the principles and practices of public health data management across its full lifecycle, from collection and entry to quality assurance, storage, and archiving. Emphasis is placed on applying international standards and Armenian health information systems, including ARMED and Ministry of Health reporting protocols. Students gain hands-on experience with data management software such as Excel and SPSS, learning to prepare real-world datasets for analysis, reporting, and policy use. The module also addresses ethical and legal dimensions of data protection, confidentiality, and secure handling of sensitive information, equipping students with the skills to manage public health data responsibly and effectively.</w:t>
      </w:r>
    </w:p>
    <w:p w14:paraId="7F0A67BF" w14:textId="77777777" w:rsidR="007B70FC" w:rsidRDefault="007B70FC" w:rsidP="00ED06FB">
      <w:pPr>
        <w:spacing w:after="0"/>
        <w:jc w:val="both"/>
        <w:rPr>
          <w:rFonts w:ascii="Sylfaen" w:eastAsia="Calibri" w:hAnsi="Sylfaen" w:cs="Times New Roman"/>
          <w:b/>
          <w:bCs/>
          <w:i/>
          <w:iCs/>
          <w:kern w:val="2"/>
          <w:lang w:val="en-US" w:eastAsia="en-US"/>
        </w:rPr>
      </w:pPr>
    </w:p>
    <w:p w14:paraId="6D45D246" w14:textId="77777777" w:rsidR="007B70FC" w:rsidRDefault="007B70FC" w:rsidP="00ED06FB">
      <w:pPr>
        <w:spacing w:after="0"/>
        <w:jc w:val="both"/>
        <w:rPr>
          <w:rFonts w:ascii="Sylfaen" w:eastAsia="Calibri" w:hAnsi="Sylfaen" w:cs="Times New Roman"/>
          <w:b/>
          <w:bCs/>
          <w:i/>
          <w:iCs/>
          <w:kern w:val="2"/>
          <w:lang w:val="en-US" w:eastAsia="en-US"/>
        </w:rPr>
      </w:pPr>
    </w:p>
    <w:p w14:paraId="75A69C1B" w14:textId="4D3B0BF0" w:rsidR="00ED06FB" w:rsidRPr="00FE7E26" w:rsidRDefault="00ED06FB" w:rsidP="00ED06FB">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lastRenderedPageBreak/>
        <w:t xml:space="preserve">Learning competences / objectives </w:t>
      </w:r>
    </w:p>
    <w:p w14:paraId="13BFB2D8" w14:textId="0865B720" w:rsidR="00ED06FB" w:rsidRPr="00076CF7" w:rsidRDefault="00ED06FB" w:rsidP="00076CF7">
      <w:pPr>
        <w:pStyle w:val="ListParagraph"/>
        <w:numPr>
          <w:ilvl w:val="0"/>
          <w:numId w:val="7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the principles, stages, and best practices involved in the management of public health data throughout its lifecycle, incorporating international standards and national electronic health information platforms.</w:t>
      </w:r>
    </w:p>
    <w:p w14:paraId="3C3CC5D6" w14:textId="73BCB177" w:rsidR="00ED06FB" w:rsidRPr="00076CF7" w:rsidRDefault="00ED06FB" w:rsidP="00076CF7">
      <w:pPr>
        <w:pStyle w:val="ListParagraph"/>
        <w:numPr>
          <w:ilvl w:val="0"/>
          <w:numId w:val="7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the ability to apply appropriate procedures for data entry, coding, cleaning, validation, and storage to ensure data quality, consistency, and integrity using real-world public health datasets.</w:t>
      </w:r>
    </w:p>
    <w:p w14:paraId="027E7385" w14:textId="23B15791" w:rsidR="00ED06FB" w:rsidRPr="00076CF7" w:rsidRDefault="00ED06FB" w:rsidP="00076CF7">
      <w:pPr>
        <w:pStyle w:val="ListParagraph"/>
        <w:numPr>
          <w:ilvl w:val="0"/>
          <w:numId w:val="7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applied competence in using data management tools and software (e.g., Excel, SPSS, open-source platforms) to organize, retrieve, and prepare health datasets for analysis and reporting.</w:t>
      </w:r>
    </w:p>
    <w:p w14:paraId="48226173" w14:textId="1C4411F5" w:rsidR="00ED06FB" w:rsidRPr="00076CF7" w:rsidRDefault="00ED06FB" w:rsidP="00076CF7">
      <w:pPr>
        <w:pStyle w:val="ListParagraph"/>
        <w:numPr>
          <w:ilvl w:val="0"/>
          <w:numId w:val="7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awareness of ethical, legal, and confidentiality issues in public health data management, including national data protection frameworks and secure handling of sensitive information.</w:t>
      </w:r>
    </w:p>
    <w:p w14:paraId="6A015218" w14:textId="77777777" w:rsidR="00ED06FB" w:rsidRPr="007B70FC" w:rsidRDefault="00ED06FB" w:rsidP="00ED06FB">
      <w:pPr>
        <w:spacing w:after="0"/>
        <w:jc w:val="both"/>
        <w:rPr>
          <w:rFonts w:ascii="Sylfaen" w:eastAsia="Calibri" w:hAnsi="Sylfaen" w:cs="Times New Roman"/>
          <w:kern w:val="2"/>
          <w:sz w:val="10"/>
          <w:szCs w:val="10"/>
          <w:lang w:val="en-US" w:eastAsia="en-US"/>
        </w:rPr>
      </w:pPr>
    </w:p>
    <w:p w14:paraId="4FB740FA" w14:textId="206819FE" w:rsidR="00ED06FB" w:rsidRPr="00FE7E26" w:rsidRDefault="00ED06FB" w:rsidP="00ED06FB">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 xml:space="preserve">Syllabus content. </w:t>
      </w:r>
    </w:p>
    <w:p w14:paraId="4444A3FE" w14:textId="2E607219"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Concepts and stages of public health data management: planning, collection, entry, quality control, storage, analysis, reporting, and archiving, referencing both international frameworks and national systems such as ARMED and MOH reporting protocols.</w:t>
      </w:r>
    </w:p>
    <w:p w14:paraId="185413B4" w14:textId="178E8D9B"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Data quality assurance processes: validation, data cleaning, outlier detection, and strategies to minimize data loss, illustrated with national reporting outputs (e.g., Health System Performance Assessment reports).</w:t>
      </w:r>
    </w:p>
    <w:p w14:paraId="6C849E5B" w14:textId="2D57C700"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Overview and application of commonly used data management software tools (e.g., Microsoft Excel, SPSS), with hands-on exercises using datasets from national health registries.</w:t>
      </w:r>
    </w:p>
    <w:p w14:paraId="36BBEB37" w14:textId="202956F8"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File formats, data dictionaries, naming conventions, and standardization protocols based on global and national coding practices in health information systems.</w:t>
      </w:r>
    </w:p>
    <w:p w14:paraId="623B7505" w14:textId="455D9892"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Ethical and legal aspects of public health data management: informed consent, confidentiality, data security, and alignment with public sector data protection laws.</w:t>
      </w:r>
    </w:p>
    <w:p w14:paraId="1E052B11" w14:textId="0ED4B89F"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Preparing public health datasets for statistical analysis and reporting, with a focus on usability for surveillance, research, and policy.</w:t>
      </w:r>
    </w:p>
    <w:p w14:paraId="4751F461" w14:textId="07BFE88C" w:rsidR="00ED06FB" w:rsidRPr="00076CF7" w:rsidRDefault="00ED06FB" w:rsidP="00076CF7">
      <w:pPr>
        <w:pStyle w:val="ListParagraph"/>
        <w:numPr>
          <w:ilvl w:val="0"/>
          <w:numId w:val="7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Managing large-scale and multisource datasets, addressing challenges of interoperability, access control, metadata completeness, and long-term archiving.</w:t>
      </w:r>
    </w:p>
    <w:p w14:paraId="2E1918D6" w14:textId="77777777" w:rsidR="00ED06FB" w:rsidRPr="007B70FC" w:rsidRDefault="00ED06FB" w:rsidP="00ED06FB">
      <w:pPr>
        <w:spacing w:after="0"/>
        <w:jc w:val="both"/>
        <w:rPr>
          <w:rFonts w:ascii="Sylfaen" w:eastAsia="Calibri" w:hAnsi="Sylfaen" w:cs="Times New Roman"/>
          <w:kern w:val="2"/>
          <w:sz w:val="10"/>
          <w:szCs w:val="10"/>
          <w:lang w:val="en-US" w:eastAsia="en-US"/>
        </w:rPr>
      </w:pPr>
    </w:p>
    <w:p w14:paraId="13DA9D4A" w14:textId="6840FA6D" w:rsidR="00ED06FB" w:rsidRPr="00ED06FB" w:rsidRDefault="00ED06FB" w:rsidP="00ED06FB">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t>Reading materials associated with the module.</w:t>
      </w:r>
      <w:r w:rsidRPr="00ED06FB">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1D543F0D" w14:textId="77777777" w:rsidR="00ED06FB" w:rsidRPr="00FE7E26" w:rsidRDefault="00ED06FB" w:rsidP="007B70FC">
      <w:pPr>
        <w:pStyle w:val="ListParagraph"/>
        <w:numPr>
          <w:ilvl w:val="0"/>
          <w:numId w:val="36"/>
        </w:numPr>
        <w:spacing w:after="0" w:line="259" w:lineRule="auto"/>
        <w:ind w:left="357" w:hanging="357"/>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Briney, K., 2015, Data management for researchers: Organize, maintain and share your data for research success, Pelagic Publishing.</w:t>
      </w:r>
    </w:p>
    <w:p w14:paraId="119EDDCF" w14:textId="1A2DFAD5" w:rsidR="00ED06FB" w:rsidRPr="00FE7E26" w:rsidRDefault="00ED06FB" w:rsidP="007B70FC">
      <w:pPr>
        <w:pStyle w:val="ListParagraph"/>
        <w:numPr>
          <w:ilvl w:val="0"/>
          <w:numId w:val="36"/>
        </w:numPr>
        <w:spacing w:after="0" w:line="259" w:lineRule="auto"/>
        <w:ind w:left="357" w:hanging="357"/>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World Health Organization (WHO). (2017). Standards for Public Health Information Services. Geneva: WHO. https://www.who.int/docs/default-source/documents/publications/standards-for-public-health-information-services.pdf </w:t>
      </w:r>
    </w:p>
    <w:p w14:paraId="79B5D616" w14:textId="77777777" w:rsidR="00ED06FB" w:rsidRPr="00FE7E26" w:rsidRDefault="00ED06FB" w:rsidP="007B70FC">
      <w:pPr>
        <w:pStyle w:val="ListParagraph"/>
        <w:numPr>
          <w:ilvl w:val="0"/>
          <w:numId w:val="36"/>
        </w:numPr>
        <w:spacing w:after="0" w:line="259" w:lineRule="auto"/>
        <w:ind w:left="357" w:hanging="357"/>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Centers for Disease Control and Prevention (CDC). (2018). Data Management Plan (DMP) Guidance for Public Health Programs. Atlanta: CDC. https://www.cdc.gov/nccdphp/dch/media/pdfs/Data-Management-Plan-guidance.pdf </w:t>
      </w:r>
    </w:p>
    <w:p w14:paraId="51089492" w14:textId="77777777" w:rsidR="00ED06FB" w:rsidRPr="00FE7E26" w:rsidRDefault="00ED06FB" w:rsidP="007B70FC">
      <w:pPr>
        <w:pStyle w:val="ListParagraph"/>
        <w:numPr>
          <w:ilvl w:val="0"/>
          <w:numId w:val="36"/>
        </w:numPr>
        <w:spacing w:after="0" w:line="259" w:lineRule="auto"/>
        <w:ind w:left="357" w:hanging="357"/>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Ministry of Health of Armenian (2022). Health System Performance Assessment (HSPA) Reports and relevant ARMED/eHealth documentation. https://moh.am</w:t>
      </w:r>
    </w:p>
    <w:p w14:paraId="7F2BF21F" w14:textId="77777777" w:rsidR="00ED06FB" w:rsidRPr="00FE7E26" w:rsidRDefault="00ED06FB" w:rsidP="007B70FC">
      <w:pPr>
        <w:pStyle w:val="ListParagraph"/>
        <w:numPr>
          <w:ilvl w:val="0"/>
          <w:numId w:val="36"/>
        </w:numPr>
        <w:spacing w:after="0" w:line="259" w:lineRule="auto"/>
        <w:ind w:left="357" w:hanging="357"/>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Armenian National Institute of Health (NIH), Annual. Public Health Bulletins and Research Outputs. https://nih.am/am </w:t>
      </w:r>
    </w:p>
    <w:p w14:paraId="026FE936" w14:textId="72E85DCE" w:rsidR="00ED06FB" w:rsidRPr="00FE7E26" w:rsidRDefault="00ED06FB" w:rsidP="00ED06FB">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lastRenderedPageBreak/>
        <w:t>Assessments used</w:t>
      </w:r>
    </w:p>
    <w:p w14:paraId="1A527DF5" w14:textId="77777777" w:rsidR="00ED06FB" w:rsidRPr="00ED06FB" w:rsidRDefault="00ED06FB" w:rsidP="00ED06FB">
      <w:pPr>
        <w:spacing w:after="0"/>
        <w:jc w:val="both"/>
        <w:rPr>
          <w:rFonts w:ascii="Sylfaen" w:eastAsia="Calibri" w:hAnsi="Sylfaen" w:cs="Times New Roman"/>
          <w:kern w:val="2"/>
          <w:lang w:val="en-US" w:eastAsia="en-US"/>
        </w:rPr>
      </w:pPr>
      <w:r w:rsidRPr="00ED06FB">
        <w:rPr>
          <w:rFonts w:ascii="Sylfaen" w:eastAsia="Calibri" w:hAnsi="Sylfaen" w:cs="Times New Roman"/>
          <w:kern w:val="2"/>
          <w:lang w:val="en-US" w:eastAsia="en-US"/>
        </w:rPr>
        <w:t>The summative assessment for this module consists of a structured series of 10 practical data management tasks using a provided dataset. Students are required to carry out key stages of data handling including data entry, coding, cleaning, validation, structuring, and preparation for analysis. Each task is designed to assess specific competencies related to data integrity, consistency, and management efficiency.</w:t>
      </w:r>
    </w:p>
    <w:p w14:paraId="69B6E277" w14:textId="77777777" w:rsidR="00ED06FB" w:rsidRPr="00ED06FB" w:rsidRDefault="00ED06FB" w:rsidP="00ED06FB">
      <w:pPr>
        <w:spacing w:after="0"/>
        <w:jc w:val="both"/>
        <w:rPr>
          <w:rFonts w:ascii="Sylfaen" w:eastAsia="Calibri" w:hAnsi="Sylfaen" w:cs="Times New Roman"/>
          <w:kern w:val="2"/>
          <w:lang w:val="en-US" w:eastAsia="en-US"/>
        </w:rPr>
      </w:pPr>
      <w:r w:rsidRPr="00ED06FB">
        <w:rPr>
          <w:rFonts w:ascii="Sylfaen" w:eastAsia="Calibri" w:hAnsi="Sylfaen" w:cs="Times New Roman"/>
          <w:kern w:val="2"/>
          <w:lang w:val="en-US" w:eastAsia="en-US"/>
        </w:rPr>
        <w:t>The assessment is designed to evaluate students’ ability to apply essential data management techniques using real-world public health scenarios. Students must demonstrate attention to detail, systematic workflow, and adherence to quality control procedures.</w:t>
      </w:r>
    </w:p>
    <w:p w14:paraId="36722F1D" w14:textId="281AE47F" w:rsidR="00ED06FB" w:rsidRDefault="00ED06FB" w:rsidP="00ED06FB">
      <w:pPr>
        <w:spacing w:after="0"/>
        <w:jc w:val="both"/>
        <w:rPr>
          <w:rFonts w:ascii="Sylfaen" w:eastAsia="Calibri" w:hAnsi="Sylfaen" w:cs="Times New Roman"/>
          <w:kern w:val="2"/>
          <w:lang w:val="en-US" w:eastAsia="en-US"/>
        </w:rPr>
      </w:pPr>
      <w:r w:rsidRPr="00ED06FB">
        <w:rPr>
          <w:rFonts w:ascii="Sylfaen" w:eastAsia="Calibri" w:hAnsi="Sylfaen" w:cs="Times New Roman"/>
          <w:kern w:val="2"/>
          <w:lang w:val="en-US" w:eastAsia="en-US"/>
        </w:rPr>
        <w:t>Formative assessment is embedded throughout the module via supervised practical sessions, in-class demonstrations and instructor-guided exercises. These activities allow students to practice specific skills such as identifying missing values, handling duplicates, and applying naming conventions, with opportunities for direct feedback and improve task execution ahead of the final assessment.</w:t>
      </w:r>
    </w:p>
    <w:p w14:paraId="3AD3670C" w14:textId="77777777" w:rsidR="00822294" w:rsidRPr="00916805" w:rsidRDefault="00822294" w:rsidP="002133F8">
      <w:pPr>
        <w:spacing w:after="0"/>
        <w:jc w:val="both"/>
        <w:rPr>
          <w:rFonts w:ascii="Sylfaen" w:eastAsia="Calibri" w:hAnsi="Sylfaen" w:cs="Times New Roman"/>
          <w:kern w:val="2"/>
          <w:lang w:val="en-US" w:eastAsia="en-US"/>
        </w:rPr>
      </w:pPr>
    </w:p>
    <w:p w14:paraId="021D4CE0" w14:textId="0178A41B" w:rsidR="001A3C5B" w:rsidRPr="00916805" w:rsidRDefault="001A3C5B" w:rsidP="002133F8">
      <w:pPr>
        <w:spacing w:after="0"/>
        <w:jc w:val="both"/>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Biostatistics I </w:t>
      </w:r>
      <w:r w:rsidR="00E63A5D" w:rsidRPr="00E63A5D">
        <w:rPr>
          <w:rFonts w:ascii="Sylfaen" w:eastAsia="Calibri" w:hAnsi="Sylfaen" w:cs="Times New Roman"/>
          <w:b/>
          <w:bCs/>
          <w:i/>
          <w:iCs/>
          <w:color w:val="4F81BD" w:themeColor="accent1"/>
          <w:kern w:val="2"/>
          <w:u w:val="single"/>
          <w:lang w:val="en-US" w:eastAsia="en-US"/>
        </w:rPr>
        <w:t>(3 credits)</w:t>
      </w:r>
    </w:p>
    <w:p w14:paraId="0DD506E3" w14:textId="2938AF2D" w:rsidR="00FE7E26" w:rsidRPr="00FE7E26" w:rsidRDefault="00822294" w:rsidP="00FE7E26">
      <w:pPr>
        <w:spacing w:after="0"/>
        <w:jc w:val="both"/>
        <w:rPr>
          <w:rFonts w:ascii="Sylfaen" w:eastAsia="Calibri" w:hAnsi="Sylfaen" w:cs="Times New Roman"/>
          <w:b/>
          <w:bCs/>
          <w:i/>
          <w:iCs/>
          <w:kern w:val="2"/>
          <w:lang w:val="en-US" w:eastAsia="en-US"/>
        </w:rPr>
      </w:pPr>
      <w:r w:rsidRPr="00822294">
        <w:rPr>
          <w:rFonts w:ascii="Sylfaen" w:eastAsia="Calibri" w:hAnsi="Sylfaen" w:cs="Times New Roman"/>
          <w:kern w:val="2"/>
          <w:lang w:val="en-US" w:eastAsia="en-US"/>
        </w:rPr>
        <w:t>This module introduces students to the foundational concepts and methods of biostatistics, with a focus on summarizing, presenting, and interpreting public health data. Students learn to classify variables, calculate descriptive measures, and apply statistical tools to real datasets from Armenian surveillance and health information systems. Emphasis is placed on the construction of meaningful indicators of health system performance, graphical presentation of data consistent with national reporting formats, and the application of probability concepts and statistical distributions to public health problems. The module equips students with essential skills for understanding variability, uncertainty, and representativeness in population health data, laying the groundwork for advanced statistical analysis in subsequent coursework.</w:t>
      </w:r>
      <w:r w:rsidR="001A3C5B" w:rsidRPr="00916805">
        <w:rPr>
          <w:rFonts w:ascii="Sylfaen" w:eastAsia="Calibri" w:hAnsi="Sylfaen" w:cs="Times New Roman"/>
          <w:kern w:val="2"/>
          <w:lang w:val="en-US" w:eastAsia="en-US"/>
        </w:rPr>
        <w:br/>
      </w:r>
      <w:r w:rsidR="00FE7E26" w:rsidRPr="00FE7E26">
        <w:rPr>
          <w:rFonts w:ascii="Sylfaen" w:eastAsia="Calibri" w:hAnsi="Sylfaen" w:cs="Times New Roman"/>
          <w:b/>
          <w:bCs/>
          <w:i/>
          <w:iCs/>
          <w:kern w:val="2"/>
          <w:lang w:val="en-US" w:eastAsia="en-US"/>
        </w:rPr>
        <w:t xml:space="preserve">Learning competences / objectives </w:t>
      </w:r>
    </w:p>
    <w:p w14:paraId="4075E411" w14:textId="1032E8AB"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foundational understanding of biostatistical concepts and their application in summarizing and interpreting public health data, particularly in the context of Armenian surveillance and health information systems.</w:t>
      </w:r>
    </w:p>
    <w:p w14:paraId="05BB4376" w14:textId="479BFC78"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Classify variables and datasets using appropriate measurement levels and coding schemes, based on national health reporting formats.</w:t>
      </w:r>
    </w:p>
    <w:p w14:paraId="7C17ACD4" w14:textId="60A25435"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descriptive statistical methods to calculate frequencies, rates, proportions, and indicators of health system performance (e.g., mortality, vaccination coverage).</w:t>
      </w:r>
    </w:p>
    <w:p w14:paraId="334E2C3D" w14:textId="686D6DCD"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Compute and interpret measures of central tendency and dispersion, and select appropriate statistical summaries based on data type and distribution.</w:t>
      </w:r>
    </w:p>
    <w:p w14:paraId="5903F74D" w14:textId="3A9F5C81"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Construct and interpret graphical presentations of public health data, using charts, tables, and formats consistent with Armenian reporting practices.</w:t>
      </w:r>
    </w:p>
    <w:p w14:paraId="08332855" w14:textId="480E36DF"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Explain basic probability concepts and the role of statistical distributions (e.g., binomial and normal) in understanding uncertainty, population risk, and diagnostic test performance.</w:t>
      </w:r>
    </w:p>
    <w:p w14:paraId="2D9EF2D0" w14:textId="562AD850" w:rsidR="00FE7E26" w:rsidRPr="00076CF7" w:rsidRDefault="00FE7E26" w:rsidP="00076CF7">
      <w:pPr>
        <w:pStyle w:val="ListParagraph"/>
        <w:numPr>
          <w:ilvl w:val="0"/>
          <w:numId w:val="6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awareness of basic sampling methods and sampling error, and describe their influence on statistical interpretation and data generalizability.</w:t>
      </w:r>
    </w:p>
    <w:p w14:paraId="45D5D64D" w14:textId="77777777" w:rsidR="00FE7E26" w:rsidRPr="00FE7E26" w:rsidRDefault="00FE7E26" w:rsidP="00FE7E26">
      <w:pPr>
        <w:spacing w:after="0"/>
        <w:jc w:val="both"/>
        <w:rPr>
          <w:rFonts w:ascii="Sylfaen" w:eastAsia="Calibri" w:hAnsi="Sylfaen" w:cs="Times New Roman"/>
          <w:kern w:val="2"/>
          <w:lang w:val="en-US" w:eastAsia="en-US"/>
        </w:rPr>
      </w:pPr>
    </w:p>
    <w:p w14:paraId="601959B6" w14:textId="77777777" w:rsidR="007B70FC" w:rsidRDefault="007B70FC" w:rsidP="00FE7E26">
      <w:pPr>
        <w:spacing w:after="0"/>
        <w:jc w:val="both"/>
        <w:rPr>
          <w:rFonts w:ascii="Sylfaen" w:eastAsia="Calibri" w:hAnsi="Sylfaen" w:cs="Times New Roman"/>
          <w:b/>
          <w:bCs/>
          <w:i/>
          <w:iCs/>
          <w:kern w:val="2"/>
          <w:lang w:val="en-US" w:eastAsia="en-US"/>
        </w:rPr>
      </w:pPr>
    </w:p>
    <w:p w14:paraId="01285397" w14:textId="77777777" w:rsidR="007B70FC" w:rsidRDefault="007B70FC" w:rsidP="00FE7E26">
      <w:pPr>
        <w:spacing w:after="0"/>
        <w:jc w:val="both"/>
        <w:rPr>
          <w:rFonts w:ascii="Sylfaen" w:eastAsia="Calibri" w:hAnsi="Sylfaen" w:cs="Times New Roman"/>
          <w:b/>
          <w:bCs/>
          <w:i/>
          <w:iCs/>
          <w:kern w:val="2"/>
          <w:lang w:val="en-US" w:eastAsia="en-US"/>
        </w:rPr>
      </w:pPr>
    </w:p>
    <w:p w14:paraId="5131B3B9" w14:textId="77777777" w:rsidR="007B70FC" w:rsidRDefault="007B70FC" w:rsidP="00FE7E26">
      <w:pPr>
        <w:spacing w:after="0"/>
        <w:jc w:val="both"/>
        <w:rPr>
          <w:rFonts w:ascii="Sylfaen" w:eastAsia="Calibri" w:hAnsi="Sylfaen" w:cs="Times New Roman"/>
          <w:b/>
          <w:bCs/>
          <w:i/>
          <w:iCs/>
          <w:kern w:val="2"/>
          <w:lang w:val="en-US" w:eastAsia="en-US"/>
        </w:rPr>
      </w:pPr>
    </w:p>
    <w:p w14:paraId="7D8100DA" w14:textId="77777777" w:rsidR="007B70FC" w:rsidRDefault="007B70FC" w:rsidP="00FE7E26">
      <w:pPr>
        <w:spacing w:after="0"/>
        <w:jc w:val="both"/>
        <w:rPr>
          <w:rFonts w:ascii="Sylfaen" w:eastAsia="Calibri" w:hAnsi="Sylfaen" w:cs="Times New Roman"/>
          <w:b/>
          <w:bCs/>
          <w:i/>
          <w:iCs/>
          <w:kern w:val="2"/>
          <w:lang w:val="en-US" w:eastAsia="en-US"/>
        </w:rPr>
      </w:pPr>
    </w:p>
    <w:p w14:paraId="378B1F6A" w14:textId="7AC89ECC"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lastRenderedPageBreak/>
        <w:t>Syllabus content.</w:t>
      </w:r>
      <w:r w:rsidRPr="00FE7E26">
        <w:rPr>
          <w:rFonts w:ascii="Sylfaen" w:eastAsia="Calibri" w:hAnsi="Sylfaen" w:cs="Times New Roman"/>
          <w:kern w:val="2"/>
          <w:lang w:val="en-US" w:eastAsia="en-US"/>
        </w:rPr>
        <w:t xml:space="preserve"> </w:t>
      </w:r>
    </w:p>
    <w:p w14:paraId="6F40FE5F" w14:textId="327EF444"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Introduction to biostatistics: purpose, core concepts, and the role of statistical reasoning in public health and epidemiology.</w:t>
      </w:r>
    </w:p>
    <w:p w14:paraId="2B6B6CB0" w14:textId="0587CA4A"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Types of data and variables: nominal, ordinal, interval, and ratio scales; data coding and classification using Armenian public health datasets.</w:t>
      </w:r>
    </w:p>
    <w:p w14:paraId="53355E40" w14:textId="4D107904"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Descriptive statistics: calculation and interpretation of frequencies, percentages, proportions, and rates (e.g., vaccination coverage, infant mortality).</w:t>
      </w:r>
    </w:p>
    <w:p w14:paraId="416D8D93" w14:textId="3371BC42"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Measures of central tendency and dispersion: mean, median, mode, range, standard deviation, and interquartile range; selection of appropriate measures based on data characteristics.</w:t>
      </w:r>
    </w:p>
    <w:p w14:paraId="22DD0F74" w14:textId="3B0EEE0F"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Graphical presentation of data: construction and interpretation of bar charts, histograms, pie charts, and line graphs using national reporting formats (e.g., MOH statistical bulletins).</w:t>
      </w:r>
    </w:p>
    <w:p w14:paraId="15A6A0D2" w14:textId="59C63693"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Basic sampling principles: introduction to random, stratified, and systematic sampling; discussion of representativeness and sampling error in public health data.</w:t>
      </w:r>
    </w:p>
    <w:p w14:paraId="34745D4D" w14:textId="11AB0B1E"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Probability concepts: basic rules, conditional probability, and interpretation of diagnostic test results (e.g., sensitivity, specificity, predictive values).</w:t>
      </w:r>
    </w:p>
    <w:p w14:paraId="6F2C119C" w14:textId="6251B29A" w:rsidR="00FE7E26" w:rsidRPr="00076CF7" w:rsidRDefault="00FE7E26" w:rsidP="00076CF7">
      <w:pPr>
        <w:pStyle w:val="ListParagraph"/>
        <w:numPr>
          <w:ilvl w:val="0"/>
          <w:numId w:val="7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Introduction to statistical distributions: characteristics and applications of binomial and normal distributions using Armenian demographic and health indicators.</w:t>
      </w:r>
    </w:p>
    <w:p w14:paraId="08AC882F" w14:textId="77777777" w:rsidR="00FE7E26" w:rsidRPr="00FE7E26" w:rsidRDefault="00FE7E26" w:rsidP="00FE7E26">
      <w:pPr>
        <w:spacing w:after="0"/>
        <w:jc w:val="both"/>
        <w:rPr>
          <w:rFonts w:ascii="Sylfaen" w:eastAsia="Calibri" w:hAnsi="Sylfaen" w:cs="Times New Roman"/>
          <w:kern w:val="2"/>
          <w:lang w:val="en-US" w:eastAsia="en-US"/>
        </w:rPr>
      </w:pPr>
    </w:p>
    <w:p w14:paraId="5DF125F3" w14:textId="7FAF4E34" w:rsidR="00FE7E26" w:rsidRPr="00FE7E26" w:rsidRDefault="00FE7E26" w:rsidP="00FE7E26">
      <w:pPr>
        <w:spacing w:after="0"/>
        <w:jc w:val="both"/>
        <w:rPr>
          <w:rFonts w:ascii="Sylfaen" w:eastAsia="Calibri" w:hAnsi="Sylfaen" w:cs="Times New Roman"/>
          <w:kern w:val="2"/>
          <w:lang w:val="en-US" w:eastAsia="en-US"/>
        </w:rPr>
      </w:pPr>
      <w:r>
        <w:rPr>
          <w:rFonts w:ascii="Sylfaen" w:eastAsia="Calibri" w:hAnsi="Sylfaen" w:cs="Times New Roman"/>
          <w:b/>
          <w:bCs/>
          <w:i/>
          <w:iCs/>
          <w:kern w:val="2"/>
          <w:lang w:val="en-US" w:eastAsia="en-US"/>
        </w:rPr>
        <w:t>R</w:t>
      </w:r>
      <w:r w:rsidRPr="00FE7E26">
        <w:rPr>
          <w:rFonts w:ascii="Sylfaen" w:eastAsia="Calibri" w:hAnsi="Sylfaen" w:cs="Times New Roman"/>
          <w:b/>
          <w:bCs/>
          <w:i/>
          <w:iCs/>
          <w:kern w:val="2"/>
          <w:lang w:val="en-US" w:eastAsia="en-US"/>
        </w:rPr>
        <w:t>eading materials associated with the module.</w:t>
      </w:r>
      <w:r w:rsidRPr="00FE7E26">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33A19B75"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Sullivan, L.M. (2011). Essentials of Biostatistics in Public Health, 2nd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Jones &amp; Bartlett Learning.</w:t>
      </w:r>
    </w:p>
    <w:p w14:paraId="73D0C7DB"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Pagano, M., &amp; Gauvreau, K. (2018). Principles of Biostatistics, 2nd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CRC Press.</w:t>
      </w:r>
    </w:p>
    <w:p w14:paraId="524D5AEE"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World Health Organization (2017). Strategizing National Health in the 21st Century: A Handbook.  https://www.who.int/publications/i/item/strategizing-national-health-in-the-21st-century-a-handbook</w:t>
      </w:r>
    </w:p>
    <w:p w14:paraId="0EE5A081"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Armenian Ministry of Health, 2022. Health System Performance Assessment (HSPA) Reports. https://moh.am/</w:t>
      </w:r>
    </w:p>
    <w:p w14:paraId="4E85B83A"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Armenian National Institute of Health (NIH), Annual. Public Health Bulletins and Research Outputs. https://nih.am/am </w:t>
      </w:r>
    </w:p>
    <w:p w14:paraId="4E933C73" w14:textId="77777777" w:rsidR="00FE7E26" w:rsidRPr="00FE7E26" w:rsidRDefault="00FE7E26" w:rsidP="00FE7E26">
      <w:pPr>
        <w:pStyle w:val="ListParagraph"/>
        <w:numPr>
          <w:ilvl w:val="0"/>
          <w:numId w:val="37"/>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Tadevosyan, A.E., Hayrapetyan, A.K., </w:t>
      </w:r>
      <w:proofErr w:type="spellStart"/>
      <w:r w:rsidRPr="00FE7E26">
        <w:rPr>
          <w:rFonts w:ascii="Sylfaen" w:eastAsia="Calibri" w:hAnsi="Sylfaen" w:cs="Times New Roman"/>
          <w:kern w:val="2"/>
          <w:lang w:val="en-US" w:eastAsia="en-US"/>
        </w:rPr>
        <w:t>Sakanyan</w:t>
      </w:r>
      <w:proofErr w:type="spellEnd"/>
      <w:r w:rsidRPr="00FE7E26">
        <w:rPr>
          <w:rFonts w:ascii="Sylfaen" w:eastAsia="Calibri" w:hAnsi="Sylfaen" w:cs="Times New Roman"/>
          <w:kern w:val="2"/>
          <w:lang w:val="en-US" w:eastAsia="en-US"/>
        </w:rPr>
        <w:t xml:space="preserve"> G.H., Sukiasyan, R.R., Fundamentals of Biostatistics: A Textbook, Yerevan State Medical University, 2019. (in Armenian)</w:t>
      </w:r>
    </w:p>
    <w:p w14:paraId="034A5F2A" w14:textId="77777777" w:rsidR="00FE7E26" w:rsidRDefault="00FE7E26" w:rsidP="00FE7E26">
      <w:pPr>
        <w:spacing w:after="0"/>
        <w:jc w:val="both"/>
        <w:rPr>
          <w:rFonts w:ascii="Sylfaen" w:eastAsia="Calibri" w:hAnsi="Sylfaen" w:cs="Times New Roman"/>
          <w:kern w:val="2"/>
          <w:lang w:val="en-US" w:eastAsia="en-US"/>
        </w:rPr>
      </w:pPr>
    </w:p>
    <w:p w14:paraId="48BFAF7E" w14:textId="2A89CB56"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Assessments used</w:t>
      </w:r>
    </w:p>
    <w:p w14:paraId="7CBC6131"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summative assessment for this module follows a two-step structure designed to evaluate both theoretical understanding and applied competency in descriptive biostatistics:</w:t>
      </w:r>
    </w:p>
    <w:p w14:paraId="61E98EA2"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Step 1 – Paper-Based Test (Closed-Ended Questions):</w:t>
      </w:r>
    </w:p>
    <w:p w14:paraId="5811C42D"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Students first complete a structured, paper-based test composed exclusively of 20 closed-ended questions (e.g., multiple-choice, true/false, and single-best-answer formats). This test assesses students’ understanding of key biostatistical concepts, including variable types, summary measures, and data interpretation.</w:t>
      </w:r>
    </w:p>
    <w:p w14:paraId="3C9FDEB2"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A minimum score of 50% is required to pass this component. Students who do not meet this threshold are not permitted to proceed to the second assessment stage.</w:t>
      </w:r>
    </w:p>
    <w:p w14:paraId="5C2F1F2A"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Step 2 – Computer-Based Practical Assignment:</w:t>
      </w:r>
    </w:p>
    <w:p w14:paraId="16CB798F"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lastRenderedPageBreak/>
        <w:t>Students who pass the paper-based test complete a computer-based 10 assignments using a provided public health dataset. They perform a sequence of data analysis tasks, including data summarization, graph creation, and interpretation of descriptive statistics. This practical assignment assesses students’ ability to apply statistical methods using real or simulated data relevant to public health.</w:t>
      </w:r>
    </w:p>
    <w:p w14:paraId="391AECC4" w14:textId="17031AA0" w:rsidR="001A3C5B" w:rsidRPr="00916805"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Formative assessment is provided through weekly exercises, class-based problem-solving, and guided data analysis sessions. These activities allow students to practice key skills, receive feedback, and prepare for both the theoretical and applied components of the module assessment.</w:t>
      </w:r>
    </w:p>
    <w:p w14:paraId="1F6AD092" w14:textId="77777777" w:rsidR="00FE7E26" w:rsidRDefault="00FE7E26" w:rsidP="002133F8">
      <w:pPr>
        <w:spacing w:after="0"/>
        <w:jc w:val="both"/>
        <w:rPr>
          <w:rFonts w:ascii="Sylfaen" w:eastAsia="Calibri" w:hAnsi="Sylfaen" w:cs="Times New Roman"/>
          <w:b/>
          <w:bCs/>
          <w:i/>
          <w:iCs/>
          <w:color w:val="4F81BD" w:themeColor="accent1"/>
          <w:kern w:val="2"/>
          <w:u w:val="single"/>
          <w:lang w:val="en-US" w:eastAsia="en-US"/>
        </w:rPr>
      </w:pPr>
    </w:p>
    <w:p w14:paraId="58F9E84E" w14:textId="57317538" w:rsidR="001A3C5B" w:rsidRPr="00916805" w:rsidRDefault="00822294" w:rsidP="002133F8">
      <w:pPr>
        <w:spacing w:after="0"/>
        <w:jc w:val="both"/>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t>Epidemiology I (Non-Communicable Diseases)</w:t>
      </w:r>
      <w:r w:rsidR="00E63A5D" w:rsidRPr="00E63A5D">
        <w:rPr>
          <w:lang w:val="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684D7939" w14:textId="7EA52856" w:rsidR="00FE7E26" w:rsidRPr="00FE7E26" w:rsidRDefault="00822294" w:rsidP="00FE7E26">
      <w:pPr>
        <w:spacing w:after="0"/>
        <w:jc w:val="both"/>
        <w:rPr>
          <w:rFonts w:ascii="Sylfaen" w:eastAsia="Calibri" w:hAnsi="Sylfaen" w:cs="Times New Roman"/>
          <w:b/>
          <w:bCs/>
          <w:i/>
          <w:iCs/>
          <w:kern w:val="2"/>
          <w:lang w:val="en-US" w:eastAsia="en-US"/>
        </w:rPr>
      </w:pPr>
      <w:r w:rsidRPr="00822294">
        <w:rPr>
          <w:rFonts w:ascii="Sylfaen" w:eastAsia="Calibri" w:hAnsi="Sylfaen" w:cs="Times New Roman"/>
          <w:kern w:val="2"/>
          <w:lang w:val="en-US" w:eastAsia="en-US"/>
        </w:rPr>
        <w:t>This module provides students with a comprehensive introduction to the epidemiology of non-communicable diseases (NCDs), emphasizing their distribution, determinants, and public health impact in Armenia and globally. Students gain competence in applying epidemiological study designs and calculating key measures of disease occurrence and association using NCD datasets. The module explores behavioral, environmental, occupational, and genetic determinants of chronic diseases, with practical application of national surveillance systems, cancer registries, and global burden of disease metrics. Ethical, legal, and methodological issues in NCD research are integrated throughout, preparing students to interpret evidence critically and contribute to evidence-based prevention and control strategies.</w:t>
      </w:r>
      <w:r w:rsidR="001A3C5B" w:rsidRPr="00916805">
        <w:rPr>
          <w:rFonts w:ascii="Sylfaen" w:eastAsia="Calibri" w:hAnsi="Sylfaen" w:cs="Times New Roman"/>
          <w:kern w:val="2"/>
          <w:lang w:val="en-US" w:eastAsia="en-US"/>
        </w:rPr>
        <w:br/>
      </w:r>
      <w:r w:rsidR="00FE7E26" w:rsidRPr="00FE7E26">
        <w:rPr>
          <w:rFonts w:ascii="Sylfaen" w:eastAsia="Calibri" w:hAnsi="Sylfaen" w:cs="Times New Roman"/>
          <w:b/>
          <w:bCs/>
          <w:i/>
          <w:iCs/>
          <w:kern w:val="2"/>
          <w:lang w:val="en-US" w:eastAsia="en-US"/>
        </w:rPr>
        <w:t xml:space="preserve">Learning competences / objectives </w:t>
      </w:r>
    </w:p>
    <w:p w14:paraId="7F306BFA" w14:textId="35E0E633"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the distribution, determinants, and public health impact of major non-communicable diseases (NCDs) at national and global levels.</w:t>
      </w:r>
    </w:p>
    <w:p w14:paraId="7FAB41B7" w14:textId="26907ED2"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core epidemiological study designs—including descriptive, cross-sectional, case-control, and cohort studies—to investigate the causes and trends of NCDs in Armenia.</w:t>
      </w:r>
    </w:p>
    <w:p w14:paraId="6804F8E6" w14:textId="1323E95D"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Calculate and interpret key epidemiological measures of disease frequency, risk, and association (e.g., incidence, prevalence, relative risk, odds ratio) using NCD data.</w:t>
      </w:r>
    </w:p>
    <w:p w14:paraId="21CD6D4B" w14:textId="24B3F918"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Analyze social, behavioral, environmental, occupational, and genetic determinants of NCDs, and integrate findings into public health prevention and control strategies.</w:t>
      </w:r>
    </w:p>
    <w:p w14:paraId="60E692A3" w14:textId="49608714"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Interpret epidemiological data within the framework of national disease surveillance systems, health registries (e.g., cancer registries), and global indicators (e.g., DALYs, YLL).</w:t>
      </w:r>
    </w:p>
    <w:p w14:paraId="0894607E" w14:textId="228E4695" w:rsidR="00FE7E26" w:rsidRPr="00076CF7" w:rsidRDefault="00FE7E26" w:rsidP="00076CF7">
      <w:pPr>
        <w:pStyle w:val="ListParagraph"/>
        <w:numPr>
          <w:ilvl w:val="0"/>
          <w:numId w:val="6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Identify ethical, legal, and practical considerations in conducting epidemiological research on chronic diseases in Armenia.</w:t>
      </w:r>
    </w:p>
    <w:p w14:paraId="3F467D1E" w14:textId="77777777" w:rsidR="00FE7E26" w:rsidRPr="00FE7E26" w:rsidRDefault="00FE7E26" w:rsidP="00FE7E26">
      <w:pPr>
        <w:spacing w:after="0"/>
        <w:jc w:val="both"/>
        <w:rPr>
          <w:rFonts w:ascii="Sylfaen" w:eastAsia="Calibri" w:hAnsi="Sylfaen" w:cs="Times New Roman"/>
          <w:kern w:val="2"/>
          <w:lang w:val="en-US" w:eastAsia="en-US"/>
        </w:rPr>
      </w:pPr>
    </w:p>
    <w:p w14:paraId="0E3ABC59" w14:textId="5ED4E8A5"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Syllabus content</w:t>
      </w:r>
    </w:p>
    <w:p w14:paraId="7E584AA4" w14:textId="56054FDB"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Introduction to epidemiology in public health: history, terminology, and role in policy and planning.</w:t>
      </w:r>
    </w:p>
    <w:p w14:paraId="1C346B25" w14:textId="331E5C81"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Focus on non-communicable disease epidemiology: burden, distribution, and public health significance in Armenia.</w:t>
      </w:r>
    </w:p>
    <w:p w14:paraId="21FF1DC5" w14:textId="3D92C1F5"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Measures of disease occurrence and association: incidence, prevalence, risk ratios, odds ratios, attributable risk.</w:t>
      </w:r>
    </w:p>
    <w:p w14:paraId="5325D24D" w14:textId="4A68F7B2"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Study designs in epidemiology: descriptive studies, cross-sectional surveys, case-control and cohort studies.</w:t>
      </w:r>
    </w:p>
    <w:p w14:paraId="6D01B59A" w14:textId="105FC0EA"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Analysis of determinants of NCDs: behavioral (e.g., smoking, nutrition), environmental (e.g., urban pollution), occupational, and genetic factors.</w:t>
      </w:r>
    </w:p>
    <w:p w14:paraId="75A0C8C8" w14:textId="62C4CEE2"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National surveillance systems and health data sources: Armenia’s national statistical databases, cancer registry, MoH/NCDC bulletins.</w:t>
      </w:r>
    </w:p>
    <w:p w14:paraId="344399F7" w14:textId="090F4898"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lastRenderedPageBreak/>
        <w:t>Disability-Adjusted Life Years (DALYs), Years of Life Lost (YLL), and other burden of disease metrics.</w:t>
      </w:r>
    </w:p>
    <w:p w14:paraId="20767592" w14:textId="41A8A100"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Interpretation of epidemiological evidence for national NCD strategies and WHO targets.</w:t>
      </w:r>
    </w:p>
    <w:p w14:paraId="7B891789" w14:textId="383845DE" w:rsidR="00FE7E26" w:rsidRPr="00076CF7" w:rsidRDefault="00FE7E26" w:rsidP="00076CF7">
      <w:pPr>
        <w:pStyle w:val="ListParagraph"/>
        <w:numPr>
          <w:ilvl w:val="0"/>
          <w:numId w:val="6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Ethics in epidemiological research: informed consent, confidentiality, data use in chronic disease surveillance.</w:t>
      </w:r>
    </w:p>
    <w:p w14:paraId="5558D722" w14:textId="77777777" w:rsidR="00FE7E26" w:rsidRPr="00FE7E26" w:rsidRDefault="00FE7E26" w:rsidP="00FE7E26">
      <w:pPr>
        <w:spacing w:after="0"/>
        <w:jc w:val="both"/>
        <w:rPr>
          <w:rFonts w:ascii="Sylfaen" w:eastAsia="Calibri" w:hAnsi="Sylfaen" w:cs="Times New Roman"/>
          <w:kern w:val="2"/>
          <w:lang w:val="en-US" w:eastAsia="en-US"/>
        </w:rPr>
      </w:pPr>
    </w:p>
    <w:p w14:paraId="4C4210A3" w14:textId="63117C09"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t>Reading materials associated with the module.</w:t>
      </w:r>
      <w:r w:rsidRPr="00FE7E26">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16A41C52"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Gordis, L. 2014, Epidemiology, 5th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Elsevier Saunders.</w:t>
      </w:r>
    </w:p>
    <w:p w14:paraId="7D167DAC"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Beaglehole, R., Bonita, R., &amp; </w:t>
      </w:r>
      <w:proofErr w:type="spellStart"/>
      <w:r w:rsidRPr="00FE7E26">
        <w:rPr>
          <w:rFonts w:ascii="Sylfaen" w:eastAsia="Calibri" w:hAnsi="Sylfaen" w:cs="Times New Roman"/>
          <w:kern w:val="2"/>
          <w:lang w:val="en-US" w:eastAsia="en-US"/>
        </w:rPr>
        <w:t>Kjellström</w:t>
      </w:r>
      <w:proofErr w:type="spellEnd"/>
      <w:r w:rsidRPr="00FE7E26">
        <w:rPr>
          <w:rFonts w:ascii="Sylfaen" w:eastAsia="Calibri" w:hAnsi="Sylfaen" w:cs="Times New Roman"/>
          <w:kern w:val="2"/>
          <w:lang w:val="en-US" w:eastAsia="en-US"/>
        </w:rPr>
        <w:t xml:space="preserve">, T. 2020, Basic Epidemiology, 3rd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World Health Organization.</w:t>
      </w:r>
    </w:p>
    <w:p w14:paraId="4D2DA923"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Marmot, M. &amp; Wilkinson, R.G. (eds) 2006, Social Determinants of Health, 2nd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Oxford University Press.</w:t>
      </w:r>
    </w:p>
    <w:p w14:paraId="0470B2F2"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Bruce, N., Pope, D., &amp; Stanistreet, D. (2018). Quantitative Methods for Health Research A Practical Interactive Guide to Epidemiology and Statistics Second Edition.</w:t>
      </w:r>
    </w:p>
    <w:p w14:paraId="1B56D4EC" w14:textId="595B567C"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WHO. 2022, Noncommunicable Diseases Country Profiles-Armenia</w:t>
      </w:r>
      <w:r>
        <w:rPr>
          <w:rFonts w:ascii="Sylfaen" w:eastAsia="Calibri" w:hAnsi="Sylfaen" w:cs="Times New Roman"/>
          <w:kern w:val="2"/>
          <w:lang w:val="en-US" w:eastAsia="en-US"/>
        </w:rPr>
        <w:t xml:space="preserve"> </w:t>
      </w:r>
      <w:r w:rsidRPr="00FE7E26">
        <w:rPr>
          <w:rFonts w:ascii="Sylfaen" w:eastAsia="Calibri" w:hAnsi="Sylfaen" w:cs="Times New Roman"/>
          <w:kern w:val="2"/>
          <w:lang w:val="en-US" w:eastAsia="en-US"/>
        </w:rPr>
        <w:t xml:space="preserve">https://www.who.int/teams/noncommunicable-diseases/surveillance/data/profiles-ncd </w:t>
      </w:r>
    </w:p>
    <w:p w14:paraId="5B62AE8E"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World Health Organization. 2022, Global Status Report on Noncommunicable Diseases.</w:t>
      </w:r>
    </w:p>
    <w:p w14:paraId="73CF6BF4" w14:textId="77777777" w:rsidR="00FE7E26" w:rsidRPr="00FE7E26" w:rsidRDefault="00FE7E26" w:rsidP="00FE7E26">
      <w:pPr>
        <w:pStyle w:val="ListParagraph"/>
        <w:numPr>
          <w:ilvl w:val="0"/>
          <w:numId w:val="38"/>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https://www.who.int/publications/i/item/9789240047761</w:t>
      </w:r>
    </w:p>
    <w:p w14:paraId="0D2B2871" w14:textId="77777777" w:rsidR="00FE7E26" w:rsidRDefault="00FE7E26" w:rsidP="00FE7E26">
      <w:pPr>
        <w:spacing w:after="0"/>
        <w:jc w:val="both"/>
        <w:rPr>
          <w:rFonts w:ascii="Sylfaen" w:eastAsia="Calibri" w:hAnsi="Sylfaen" w:cs="Times New Roman"/>
          <w:b/>
          <w:bCs/>
          <w:i/>
          <w:iCs/>
          <w:kern w:val="2"/>
          <w:lang w:val="en-US" w:eastAsia="en-US"/>
        </w:rPr>
      </w:pPr>
    </w:p>
    <w:p w14:paraId="3961B487" w14:textId="3099890B"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Assessments used</w:t>
      </w:r>
    </w:p>
    <w:p w14:paraId="745783D2"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summative assessment for this module consists of two components:</w:t>
      </w:r>
    </w:p>
    <w:p w14:paraId="5C68F4E4"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A: Paper-Based Test (60% weighting)</w:t>
      </w:r>
    </w:p>
    <w:p w14:paraId="4187B45B"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B: Group-Based Case Written Assignment (40% weighting)</w:t>
      </w:r>
    </w:p>
    <w:p w14:paraId="0E1EE59F"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Paper-Based Test. This written test comprises 50 close-ended questions including multiple-choice questions (MCQs), single-best-answer (SBA) items, and exception-type formats. The test assesses comprehension of key epidemiological concepts, including measures of disease frequency and association, study design selection, and data interpretation in relation to major NCDs such as cardiovascular diseases, cancer, and diabetes.</w:t>
      </w:r>
    </w:p>
    <w:p w14:paraId="525BC114"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To pass this component, students must achieve at least 50% correct responses.</w:t>
      </w:r>
    </w:p>
    <w:p w14:paraId="250AFE93"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Group-Based Case Written Assignment. In small groups, students complete a written assignment based on a provided public health case scenario or dataset related to a specific NCD. The assignment requires students to interpret epidemiological data, propose an appropriate study design, and formulate evidence-based recommendations for public health intervention or policy. This component assesses students’ ability to collaboratively apply epidemiological reasoning and demonstrate analytical problem-solving in practical contexts. </w:t>
      </w:r>
    </w:p>
    <w:p w14:paraId="0651E5A9" w14:textId="31D50CDE" w:rsidR="001A3C5B" w:rsidRPr="00916805"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Formative assessment is integrated throughout the module via interactive lectures, case discussions, and data interpretation exercises. These activities allow students to apply theoretical knowledge to real-world case examples, receive feedback on their analytical approach, and reinforce key concepts in preparation for summative evaluation.</w:t>
      </w:r>
    </w:p>
    <w:p w14:paraId="660AD255" w14:textId="77777777" w:rsidR="00FE7E26" w:rsidRDefault="00FE7E26" w:rsidP="002133F8">
      <w:pPr>
        <w:spacing w:after="0"/>
        <w:jc w:val="both"/>
        <w:rPr>
          <w:rFonts w:ascii="Sylfaen" w:eastAsia="Calibri" w:hAnsi="Sylfaen" w:cs="Times New Roman"/>
          <w:b/>
          <w:bCs/>
          <w:i/>
          <w:iCs/>
          <w:color w:val="4F81BD" w:themeColor="accent1"/>
          <w:kern w:val="2"/>
          <w:u w:val="single"/>
          <w:lang w:val="en-US" w:eastAsia="en-US"/>
        </w:rPr>
      </w:pPr>
    </w:p>
    <w:p w14:paraId="1C9409E0" w14:textId="77777777" w:rsidR="00610F5B" w:rsidRDefault="00610F5B" w:rsidP="002133F8">
      <w:pPr>
        <w:spacing w:after="0"/>
        <w:jc w:val="both"/>
        <w:rPr>
          <w:rFonts w:ascii="Sylfaen" w:eastAsia="Calibri" w:hAnsi="Sylfaen" w:cs="Times New Roman"/>
          <w:b/>
          <w:bCs/>
          <w:i/>
          <w:iCs/>
          <w:color w:val="4F81BD" w:themeColor="accent1"/>
          <w:kern w:val="2"/>
          <w:u w:val="single"/>
          <w:lang w:val="en-US" w:eastAsia="en-US"/>
        </w:rPr>
      </w:pPr>
    </w:p>
    <w:p w14:paraId="4C1F346B" w14:textId="77777777" w:rsidR="00610F5B" w:rsidRDefault="00610F5B" w:rsidP="002133F8">
      <w:pPr>
        <w:spacing w:after="0"/>
        <w:jc w:val="both"/>
        <w:rPr>
          <w:rFonts w:ascii="Sylfaen" w:eastAsia="Calibri" w:hAnsi="Sylfaen" w:cs="Times New Roman"/>
          <w:b/>
          <w:bCs/>
          <w:i/>
          <w:iCs/>
          <w:color w:val="4F81BD" w:themeColor="accent1"/>
          <w:kern w:val="2"/>
          <w:u w:val="single"/>
          <w:lang w:val="en-US" w:eastAsia="en-US"/>
        </w:rPr>
      </w:pPr>
    </w:p>
    <w:p w14:paraId="0EE43866" w14:textId="764B91A4" w:rsidR="001A3C5B" w:rsidRPr="00916805" w:rsidRDefault="00822294" w:rsidP="002133F8">
      <w:pPr>
        <w:spacing w:after="0"/>
        <w:jc w:val="both"/>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lastRenderedPageBreak/>
        <w:t>Qualitative Research Methods</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4C1B86EA" w14:textId="77777777" w:rsidR="00822294" w:rsidRDefault="00822294" w:rsidP="002133F8">
      <w:pPr>
        <w:spacing w:after="0"/>
        <w:jc w:val="both"/>
        <w:rPr>
          <w:rFonts w:ascii="Sylfaen" w:eastAsia="Calibri" w:hAnsi="Sylfaen" w:cs="Times New Roman"/>
          <w:kern w:val="2"/>
          <w:lang w:val="en-US" w:eastAsia="en-US"/>
        </w:rPr>
      </w:pPr>
      <w:r w:rsidRPr="00822294">
        <w:rPr>
          <w:rFonts w:ascii="Sylfaen" w:eastAsia="Calibri" w:hAnsi="Sylfaen" w:cs="Times New Roman"/>
          <w:kern w:val="2"/>
          <w:lang w:val="en-US" w:eastAsia="en-US"/>
        </w:rPr>
        <w:t>This module introduces students to the theoretical foundations and practical application of qualitative research in public health. It emphasizes the value of qualitative inquiry for understanding experiences, behaviors, and systems, particularly in contexts where quantitative methods may be insufficient. Students gain hands-on experience with key data collection techniques, including interviews, focus groups, and observation, and develop competence in systematic approaches to data analysis such as coding and thematic analysis. The module also addresses issues of rigor, reflexivity, and ethics, with examples drawn from Armenian public health research to illustrate methodological and cultural considerations.</w:t>
      </w:r>
    </w:p>
    <w:p w14:paraId="30EA3A01" w14:textId="5E6A2971"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 xml:space="preserve">Learning competences / objectives </w:t>
      </w:r>
    </w:p>
    <w:p w14:paraId="24C0082A"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Demonstrate critical awareness and understanding of qualitative research paradigms and their application to exploring complex public health phenomena, including experiences, behaviors, and systems.</w:t>
      </w:r>
    </w:p>
    <w:p w14:paraId="7605F7E4"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Demonstrate the ability to apply appropriate qualitative data collection methods—such as interviews, focus groups, and observation—in the investigation of public health issues.</w:t>
      </w:r>
    </w:p>
    <w:p w14:paraId="5E03CE5A"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Demonstrate competence in conducting qualitative data analysis using systematic approaches such as coding, categorization, and thematic analysis.</w:t>
      </w:r>
    </w:p>
    <w:p w14:paraId="53103B85"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Demonstrate critical insight into the ethical, cultural, and methodological considerations in the design, conduct, and reporting of qualitative public health research.</w:t>
      </w:r>
    </w:p>
    <w:p w14:paraId="30C83B94" w14:textId="77777777" w:rsidR="00FE7E26" w:rsidRPr="00FE7E26" w:rsidRDefault="00FE7E26" w:rsidP="00FE7E26">
      <w:pPr>
        <w:spacing w:after="0"/>
        <w:jc w:val="both"/>
        <w:rPr>
          <w:rFonts w:ascii="Sylfaen" w:eastAsia="Calibri" w:hAnsi="Sylfaen" w:cs="Times New Roman"/>
          <w:kern w:val="2"/>
          <w:lang w:val="en-US" w:eastAsia="en-US"/>
        </w:rPr>
      </w:pPr>
    </w:p>
    <w:p w14:paraId="0CA26394" w14:textId="7A7B44C1"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t>Syllabus content</w:t>
      </w:r>
    </w:p>
    <w:p w14:paraId="4CD2CAD4" w14:textId="15A63A24"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Epistemological foundations of qualitative research and its relevance for exploring complex issues in public health.</w:t>
      </w:r>
    </w:p>
    <w:p w14:paraId="4DBC0B58" w14:textId="5C37B439"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Overview of key qualitative research methodologies including ethnography, grounded theory, and phenomenology.</w:t>
      </w:r>
    </w:p>
    <w:p w14:paraId="420C1120" w14:textId="6745016E"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Data collection techniques: semi-structured and in-depth interviews, focus group discussions, and participant/non-participant observations.</w:t>
      </w:r>
    </w:p>
    <w:p w14:paraId="63F9D084" w14:textId="29C0B7AD"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Approaches to data analysis: coding procedures, thematic analysis, and the use of qualitative data management software.</w:t>
      </w:r>
    </w:p>
    <w:p w14:paraId="01C13445" w14:textId="67F0FFF5"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Strategies to ensure rigor and credibility in qualitative research including reflexivity, triangulation, trustworthiness, and ethical considerations such as informed consent and confidentiality.</w:t>
      </w:r>
    </w:p>
    <w:p w14:paraId="6BFEE626" w14:textId="75973718" w:rsidR="00FE7E26" w:rsidRPr="00076CF7" w:rsidRDefault="00FE7E26" w:rsidP="00076CF7">
      <w:pPr>
        <w:pStyle w:val="ListParagraph"/>
        <w:numPr>
          <w:ilvl w:val="0"/>
          <w:numId w:val="77"/>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Where applicable, examples from qualitative public health research conducted in Armenia—such as studies on community health behaviors, patient experiences, or public health program evaluations—will be used to contextualize methods and ethical considerations.</w:t>
      </w:r>
    </w:p>
    <w:p w14:paraId="2CD02AA8" w14:textId="77777777" w:rsidR="00FE7E26" w:rsidRPr="00FE7E26" w:rsidRDefault="00FE7E26" w:rsidP="00FE7E26">
      <w:pPr>
        <w:spacing w:after="0"/>
        <w:jc w:val="both"/>
        <w:rPr>
          <w:rFonts w:ascii="Sylfaen" w:eastAsia="Calibri" w:hAnsi="Sylfaen" w:cs="Times New Roman"/>
          <w:kern w:val="2"/>
          <w:lang w:val="en-US" w:eastAsia="en-US"/>
        </w:rPr>
      </w:pPr>
    </w:p>
    <w:p w14:paraId="49013A55" w14:textId="1A86131B" w:rsidR="00FE7E26" w:rsidRPr="00FE7E26" w:rsidRDefault="00FE7E26" w:rsidP="00FE7E26">
      <w:pPr>
        <w:spacing w:after="0"/>
        <w:jc w:val="both"/>
        <w:rPr>
          <w:rFonts w:ascii="Sylfaen" w:eastAsia="Calibri" w:hAnsi="Sylfaen" w:cs="Times New Roman"/>
          <w:kern w:val="2"/>
          <w:lang w:val="en-US" w:eastAsia="en-US"/>
        </w:rPr>
      </w:pPr>
      <w:r>
        <w:rPr>
          <w:rFonts w:ascii="Sylfaen" w:eastAsia="Calibri" w:hAnsi="Sylfaen" w:cs="Times New Roman"/>
          <w:kern w:val="2"/>
          <w:lang w:val="en-US" w:eastAsia="en-US"/>
        </w:rPr>
        <w:t>R</w:t>
      </w:r>
      <w:r w:rsidRPr="00FE7E26">
        <w:rPr>
          <w:rFonts w:ascii="Sylfaen" w:eastAsia="Calibri" w:hAnsi="Sylfaen" w:cs="Times New Roman"/>
          <w:kern w:val="2"/>
          <w:lang w:val="en-US" w:eastAsia="en-US"/>
        </w:rPr>
        <w:t>eading materials associated with the module. Note: Course is taught in Armenian. The following international sources are used by faculty to prepare Armenian-language content. Armenian sources are listed with translated titles.</w:t>
      </w:r>
    </w:p>
    <w:p w14:paraId="42A8282D" w14:textId="77777777" w:rsidR="00FE7E26" w:rsidRPr="00FE7E26" w:rsidRDefault="00FE7E26" w:rsidP="00FE7E26">
      <w:pPr>
        <w:pStyle w:val="ListParagraph"/>
        <w:numPr>
          <w:ilvl w:val="0"/>
          <w:numId w:val="39"/>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Green, J. &amp; Thorogood, N. 2018, Qualitative Methods for Health Research, 4th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SAGE Publications.</w:t>
      </w:r>
    </w:p>
    <w:p w14:paraId="2C2F502C" w14:textId="77777777" w:rsidR="00FE7E26" w:rsidRPr="00FE7E26" w:rsidRDefault="00FE7E26" w:rsidP="00FE7E26">
      <w:pPr>
        <w:pStyle w:val="ListParagraph"/>
        <w:numPr>
          <w:ilvl w:val="0"/>
          <w:numId w:val="39"/>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Pope, C. &amp; Mays, N. (eds) 2020, Qualitative Research in Health Care, 4th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Wiley-Blackwell.</w:t>
      </w:r>
    </w:p>
    <w:p w14:paraId="2249B80F" w14:textId="77777777" w:rsidR="00FE7E26" w:rsidRPr="00FE7E26" w:rsidRDefault="00FE7E26" w:rsidP="00FE7E26">
      <w:pPr>
        <w:pStyle w:val="ListParagraph"/>
        <w:numPr>
          <w:ilvl w:val="0"/>
          <w:numId w:val="39"/>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Liamputtong, P. 2013, Qualitative Research Methods in Health: Foundations for Evidence-Based Practice, 2nd </w:t>
      </w:r>
      <w:proofErr w:type="spellStart"/>
      <w:r w:rsidRPr="00FE7E26">
        <w:rPr>
          <w:rFonts w:ascii="Sylfaen" w:eastAsia="Calibri" w:hAnsi="Sylfaen" w:cs="Times New Roman"/>
          <w:kern w:val="2"/>
          <w:lang w:val="en-US" w:eastAsia="en-US"/>
        </w:rPr>
        <w:t>edn</w:t>
      </w:r>
      <w:proofErr w:type="spellEnd"/>
      <w:r w:rsidRPr="00FE7E26">
        <w:rPr>
          <w:rFonts w:ascii="Sylfaen" w:eastAsia="Calibri" w:hAnsi="Sylfaen" w:cs="Times New Roman"/>
          <w:kern w:val="2"/>
          <w:lang w:val="en-US" w:eastAsia="en-US"/>
        </w:rPr>
        <w:t>, Oxford University Press.</w:t>
      </w:r>
    </w:p>
    <w:p w14:paraId="5A475D55" w14:textId="13D43980" w:rsidR="00FE7E26" w:rsidRPr="00FE7E26" w:rsidRDefault="00FE7E26" w:rsidP="00FE7E26">
      <w:pPr>
        <w:pStyle w:val="ListParagraph"/>
        <w:numPr>
          <w:ilvl w:val="0"/>
          <w:numId w:val="39"/>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Tong, A., Sainsbury, P., &amp; Craig, J. 2007, Consolidated Criteria for Reporting Qualitative Research (COREQ): A 32-Item Checklist for Interviews and Focus Groups, International Journal for Quality in Health Care, vol. 19, no. 6, pp. 349–357.</w:t>
      </w:r>
      <w:r>
        <w:rPr>
          <w:rFonts w:ascii="Sylfaen" w:eastAsia="Calibri" w:hAnsi="Sylfaen" w:cs="Times New Roman"/>
          <w:kern w:val="2"/>
          <w:lang w:val="en-US" w:eastAsia="en-US"/>
        </w:rPr>
        <w:t xml:space="preserve"> </w:t>
      </w:r>
      <w:r w:rsidRPr="00FE7E26">
        <w:rPr>
          <w:rFonts w:ascii="Sylfaen" w:eastAsia="Calibri" w:hAnsi="Sylfaen" w:cs="Times New Roman"/>
          <w:kern w:val="2"/>
          <w:lang w:val="en-US" w:eastAsia="en-US"/>
        </w:rPr>
        <w:t xml:space="preserve">https://pubmed.ncbi.nlm.nih.gov/17872937/ </w:t>
      </w:r>
    </w:p>
    <w:p w14:paraId="3762A53F" w14:textId="77777777" w:rsidR="00FE7E26" w:rsidRPr="00FE7E26" w:rsidRDefault="00FE7E26" w:rsidP="00FE7E26">
      <w:pPr>
        <w:pStyle w:val="ListParagraph"/>
        <w:numPr>
          <w:ilvl w:val="0"/>
          <w:numId w:val="39"/>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lastRenderedPageBreak/>
        <w:t>Ministry of Health of the Republic of Armenia. (2022). National Health Strategy 2022–2026. https://moh.am</w:t>
      </w:r>
    </w:p>
    <w:p w14:paraId="3F2C35E9" w14:textId="77777777" w:rsidR="00FE7E26" w:rsidRDefault="00FE7E26" w:rsidP="00FE7E26">
      <w:pPr>
        <w:spacing w:after="0"/>
        <w:jc w:val="both"/>
        <w:rPr>
          <w:rFonts w:ascii="Sylfaen" w:eastAsia="Calibri" w:hAnsi="Sylfaen" w:cs="Times New Roman"/>
          <w:kern w:val="2"/>
          <w:lang w:val="en-US" w:eastAsia="en-US"/>
        </w:rPr>
      </w:pPr>
    </w:p>
    <w:p w14:paraId="24B76EB5" w14:textId="367EF28F"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Assessments used</w:t>
      </w:r>
    </w:p>
    <w:p w14:paraId="1B3A2A7C"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summative assessment for this module consists of a 2000-words written Qualitative Fieldwork Report.</w:t>
      </w:r>
    </w:p>
    <w:p w14:paraId="217C9ED5"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Each student is required to independently design and conduct a short qualitative data collection exercise (either a focus group or an in-depth interview) on a relevant public health topic. The student must submit a written report summarizing the methodology, key findings, thematic insights, and ethical considerations. The report should demonstrate an understanding of qualitative data collection, analysis, and interpretation in a public health context.</w:t>
      </w:r>
    </w:p>
    <w:p w14:paraId="44E6054E"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This assessment is designed to evaluate students’ ability to apply qualitative methods in practice, manage ethical challenges, and produce a structured analysis of real-world qualitative data.</w:t>
      </w:r>
    </w:p>
    <w:p w14:paraId="59208676" w14:textId="77777777" w:rsidR="00FE7E26" w:rsidRDefault="00FE7E26" w:rsidP="00FE7E26">
      <w:pPr>
        <w:spacing w:after="0"/>
        <w:rPr>
          <w:rFonts w:ascii="Sylfaen" w:eastAsia="Calibri" w:hAnsi="Sylfaen" w:cs="Times New Roman"/>
          <w:b/>
          <w:bCs/>
          <w:i/>
          <w:iCs/>
          <w:color w:val="4F81BD" w:themeColor="accent1"/>
          <w:kern w:val="2"/>
          <w:u w:val="single"/>
          <w:lang w:val="en-US" w:eastAsia="en-US"/>
        </w:rPr>
      </w:pPr>
      <w:r w:rsidRPr="00FE7E26">
        <w:rPr>
          <w:rFonts w:ascii="Sylfaen" w:eastAsia="Calibri" w:hAnsi="Sylfaen" w:cs="Times New Roman"/>
          <w:kern w:val="2"/>
          <w:lang w:val="en-US" w:eastAsia="en-US"/>
        </w:rPr>
        <w:t>Formative assessment is embedded throughout the module via supervised workshops, transcript review exercises, and instructor feedback on interview guides and sampling strategies. These opportunities help students refine their approach before conducting their fieldwork.</w:t>
      </w:r>
      <w:r w:rsidR="001A3C5B" w:rsidRPr="00916805">
        <w:rPr>
          <w:rFonts w:ascii="Sylfaen" w:eastAsia="Calibri" w:hAnsi="Sylfaen" w:cs="Times New Roman"/>
          <w:kern w:val="2"/>
          <w:lang w:val="en-US" w:eastAsia="en-US"/>
        </w:rPr>
        <w:br/>
      </w:r>
    </w:p>
    <w:p w14:paraId="1291F334" w14:textId="1E1CFCF2" w:rsidR="001A3C5B" w:rsidRPr="00916805" w:rsidRDefault="00B32D8D" w:rsidP="00FE7E26">
      <w:pPr>
        <w:spacing w:after="0"/>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t>Quantitative Research Methods</w:t>
      </w:r>
      <w:r w:rsidR="001A3C5B" w:rsidRPr="00916805">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178C303B" w14:textId="21096707" w:rsidR="00FE7E26" w:rsidRPr="00FE7E26" w:rsidRDefault="00B32D8D" w:rsidP="00FE7E26">
      <w:pPr>
        <w:spacing w:after="0"/>
        <w:jc w:val="both"/>
        <w:rPr>
          <w:rFonts w:ascii="Sylfaen" w:eastAsia="Calibri" w:hAnsi="Sylfaen" w:cs="Times New Roman"/>
          <w:b/>
          <w:bCs/>
          <w:i/>
          <w:iCs/>
          <w:kern w:val="2"/>
          <w:lang w:val="en-US" w:eastAsia="en-US"/>
        </w:rPr>
      </w:pPr>
      <w:r w:rsidRPr="00B32D8D">
        <w:rPr>
          <w:rFonts w:ascii="Sylfaen" w:eastAsia="Calibri" w:hAnsi="Sylfaen" w:cs="Times New Roman"/>
          <w:kern w:val="2"/>
          <w:lang w:val="en-US" w:eastAsia="en-US"/>
        </w:rPr>
        <w:t>This module equips students with the theoretical foundations and practical skills required to design, implement, and analyze quantitative public health research, with a particular focus on Armenia’s health system priorities and data sources. Students learn to construct structured surveys, apply sampling strategies, and calculate sample sizes using national demographic and health indicators. The module emphasizes rigorous study design—including cross-sectional, cohort, and case-control approaches—while addressing threats to validity, measurement error, and instrument reliability. Hands-on training in data preparation and exploratory analysis using statistical software enables students to work directly with datasets from national surveys and program monitoring systems. Ethical and cultural considerations in survey-based research are integrated throughout, ensuring alignment with institutional and national regulatory frameworks.</w:t>
      </w:r>
      <w:r w:rsidR="001A3C5B" w:rsidRPr="00916805">
        <w:rPr>
          <w:rFonts w:ascii="Sylfaen" w:eastAsia="Calibri" w:hAnsi="Sylfaen" w:cs="Times New Roman"/>
          <w:kern w:val="2"/>
          <w:lang w:val="en-US" w:eastAsia="en-US"/>
        </w:rPr>
        <w:br/>
      </w:r>
      <w:r w:rsidR="00FE7E26" w:rsidRPr="00FE7E26">
        <w:rPr>
          <w:rFonts w:ascii="Sylfaen" w:eastAsia="Calibri" w:hAnsi="Sylfaen" w:cs="Times New Roman"/>
          <w:b/>
          <w:bCs/>
          <w:i/>
          <w:iCs/>
          <w:kern w:val="2"/>
          <w:lang w:val="en-US" w:eastAsia="en-US"/>
        </w:rPr>
        <w:t xml:space="preserve">Learning competences / objectives </w:t>
      </w:r>
    </w:p>
    <w:p w14:paraId="7822F43D" w14:textId="5DC675A4"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understanding of quantitative research paradigms and the principles of rigorous study design in public health, with specific relevance to national health research priorities in Armenia.</w:t>
      </w:r>
    </w:p>
    <w:p w14:paraId="7000B9D3" w14:textId="6779894C"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Design and implement structured surveys and questionnaires for population-based studies, including defining research questions, variables, and data collection tools aligned with local demographic and health system contexts.</w:t>
      </w:r>
    </w:p>
    <w:p w14:paraId="66E5C29E" w14:textId="772A54AB"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appropriate sampling techniques (random, stratified, cluster) and perform sample size calculations using demographic and health indicators from Armenian sources such as the National Statistical Committee or Demographic and Health Surveys (DHS).</w:t>
      </w:r>
    </w:p>
    <w:p w14:paraId="1768280E" w14:textId="343917A8"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Develop study protocols for descriptive and analytical research designs (e.g., cross-sectional, cohort, case-control), informed by common epidemiological challenges and surveillance needs in Armenia.</w:t>
      </w:r>
    </w:p>
    <w:p w14:paraId="11D54FD8" w14:textId="2B090365"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Identify and mitigate threats to validity and reliability in survey instruments used for data collection in resource-limited or decentralized public health systems.</w:t>
      </w:r>
    </w:p>
    <w:p w14:paraId="3F64D222" w14:textId="63940034"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Perform data cleaning, preparation, and basic exploratory analysis using statistical software (e.g., SPSS, STATA) with example datasets from national health surveys, program monitoring data, or facility-level reporting systems in Armenia.</w:t>
      </w:r>
    </w:p>
    <w:p w14:paraId="19DE32D4" w14:textId="16E005D9" w:rsidR="00FE7E26" w:rsidRPr="00076CF7" w:rsidRDefault="00FE7E26" w:rsidP="00076CF7">
      <w:pPr>
        <w:pStyle w:val="ListParagraph"/>
        <w:numPr>
          <w:ilvl w:val="0"/>
          <w:numId w:val="79"/>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lastRenderedPageBreak/>
        <w:t>Critically assess ethical issues in survey-based public health research, including informed consent, data security, and cultural considerations in Armenian communities, while complying with local Institutional Ethics Committee requirements.</w:t>
      </w:r>
    </w:p>
    <w:p w14:paraId="7C50A5A3" w14:textId="77777777" w:rsidR="00FE7E26" w:rsidRPr="00FE7E26" w:rsidRDefault="00FE7E26" w:rsidP="00FE7E26">
      <w:pPr>
        <w:spacing w:after="0"/>
        <w:jc w:val="both"/>
        <w:rPr>
          <w:rFonts w:ascii="Sylfaen" w:eastAsia="Calibri" w:hAnsi="Sylfaen" w:cs="Times New Roman"/>
          <w:kern w:val="2"/>
          <w:lang w:val="en-US" w:eastAsia="en-US"/>
        </w:rPr>
      </w:pPr>
    </w:p>
    <w:p w14:paraId="715560B8" w14:textId="77777777" w:rsidR="00076CF7" w:rsidRDefault="00076CF7" w:rsidP="00FE7E26">
      <w:pPr>
        <w:spacing w:after="0"/>
        <w:jc w:val="both"/>
        <w:rPr>
          <w:rFonts w:ascii="Sylfaen" w:eastAsia="Calibri" w:hAnsi="Sylfaen" w:cs="Times New Roman"/>
          <w:b/>
          <w:bCs/>
          <w:i/>
          <w:iCs/>
          <w:kern w:val="2"/>
          <w:lang w:val="en-US" w:eastAsia="en-US"/>
        </w:rPr>
      </w:pPr>
    </w:p>
    <w:p w14:paraId="3CEF4804" w14:textId="2E0E3008"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t>Syllabus content</w:t>
      </w:r>
      <w:r w:rsidRPr="00FE7E26">
        <w:rPr>
          <w:rFonts w:ascii="Sylfaen" w:eastAsia="Calibri" w:hAnsi="Sylfaen" w:cs="Times New Roman"/>
          <w:kern w:val="2"/>
          <w:lang w:val="en-US" w:eastAsia="en-US"/>
        </w:rPr>
        <w:t xml:space="preserve"> </w:t>
      </w:r>
    </w:p>
    <w:p w14:paraId="42AA8736" w14:textId="33D83B35"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Quantitative research paradigms and their role in public health inquiry, including their application in evaluating health program performance in Armenia.</w:t>
      </w:r>
    </w:p>
    <w:p w14:paraId="23120094" w14:textId="520BD737"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Survey design: item construction, response formats, translation and cultural adaptation, pretesting, and validity/reliability testing using tools relevant to Armenia’s population health needs (e.g., non-communicable disease surveys, maternal health assessments).</w:t>
      </w:r>
    </w:p>
    <w:p w14:paraId="04ACFF11" w14:textId="4B778B61"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Sampling strategies and sample size calculation methods, with examples using national census data, DHS surveys, and regional health statistics from Armenia.</w:t>
      </w:r>
    </w:p>
    <w:p w14:paraId="7BC1E5B8" w14:textId="008C4FD3"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Quantitative study designs: cross-sectional, cohort, and case-control studies applied to real-world public health challenges in Armenia such as tobacco use, hypertension, or service access disparities.</w:t>
      </w:r>
    </w:p>
    <w:p w14:paraId="5896CD09" w14:textId="53216876"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Instrument bias, measurement error, and validity threats in community-based and institutional health surveys in Armenia’s mixed urban-rural health system.</w:t>
      </w:r>
    </w:p>
    <w:p w14:paraId="2C44C297" w14:textId="1C25DB31"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Research protocol development, ethical review procedures, and compliance with the guidelines of the YSMU Institutional Ethics Committee and national legal frameworks for biomedical research.</w:t>
      </w:r>
    </w:p>
    <w:p w14:paraId="64E9D90B" w14:textId="404F491B" w:rsidR="00FE7E26" w:rsidRPr="00076CF7" w:rsidRDefault="00FE7E26" w:rsidP="00076CF7">
      <w:pPr>
        <w:pStyle w:val="ListParagraph"/>
        <w:numPr>
          <w:ilvl w:val="0"/>
          <w:numId w:val="81"/>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Data preparation, cleaning, and descriptive statistical analysis using locally relevant survey datasets (e.g., eHealth reports, national screening programs, household health surveys).</w:t>
      </w:r>
    </w:p>
    <w:p w14:paraId="7A38720E" w14:textId="77777777" w:rsidR="00FE7E26" w:rsidRPr="00FE7E26" w:rsidRDefault="00FE7E26" w:rsidP="00FE7E26">
      <w:pPr>
        <w:spacing w:after="0"/>
        <w:jc w:val="both"/>
        <w:rPr>
          <w:rFonts w:ascii="Sylfaen" w:eastAsia="Calibri" w:hAnsi="Sylfaen" w:cs="Times New Roman"/>
          <w:kern w:val="2"/>
          <w:lang w:val="en-US" w:eastAsia="en-US"/>
        </w:rPr>
      </w:pPr>
    </w:p>
    <w:p w14:paraId="627C74FA" w14:textId="2EE8628F"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b/>
          <w:bCs/>
          <w:i/>
          <w:iCs/>
          <w:kern w:val="2"/>
          <w:lang w:val="en-US" w:eastAsia="en-US"/>
        </w:rPr>
        <w:t>Reading materials associated with the module.</w:t>
      </w:r>
      <w:r w:rsidRPr="00FE7E26">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363242DC"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Bowling, A. (2014). Research Methods in Health: Investigating Health and Health Services (4th ed.). McGraw-Hill Education.</w:t>
      </w:r>
    </w:p>
    <w:p w14:paraId="2D0D94A3"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Fink, A. (2017). How to Conduct Surveys: A Step-by-Step Guide (6th ed.). SAGE Publications.</w:t>
      </w:r>
    </w:p>
    <w:p w14:paraId="4D9E9CF8"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Creswell, J.W., &amp; Creswell, J.D. (2018). Research Design: Qualitative, Quantitative, and Mixed Methods Approaches (5th ed.). SAGE Publications.</w:t>
      </w:r>
    </w:p>
    <w:p w14:paraId="5A901251"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World Health Organization (WHO). (2001). Health Research Methodology: A Guide for Training in Research Methods (2nd ed.). Regional Office for the Western Pacific. https://iris.who.int/handle/10665/206929 </w:t>
      </w:r>
    </w:p>
    <w:p w14:paraId="138D9A6C" w14:textId="28548D55"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National Statistical Committee of the Republic of Armenia &amp; Ministry of Health. (2017). Armenia Demographic and Health Survey (ADHS) 2015–16: Key Indicators Report. https://armstat.am/</w:t>
      </w:r>
    </w:p>
    <w:p w14:paraId="0CE36FD2"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National Statistical Committee of the Republic of Armenia (</w:t>
      </w:r>
      <w:proofErr w:type="spellStart"/>
      <w:r w:rsidRPr="00FE7E26">
        <w:rPr>
          <w:rFonts w:ascii="Sylfaen" w:eastAsia="Calibri" w:hAnsi="Sylfaen" w:cs="Times New Roman"/>
          <w:kern w:val="2"/>
          <w:lang w:val="en-US" w:eastAsia="en-US"/>
        </w:rPr>
        <w:t>ArmStat</w:t>
      </w:r>
      <w:proofErr w:type="spellEnd"/>
      <w:r w:rsidRPr="00FE7E26">
        <w:rPr>
          <w:rFonts w:ascii="Sylfaen" w:eastAsia="Calibri" w:hAnsi="Sylfaen" w:cs="Times New Roman"/>
          <w:kern w:val="2"/>
          <w:lang w:val="en-US" w:eastAsia="en-US"/>
        </w:rPr>
        <w:t>), Ministry of Health, &amp; ICF. (2017). Armenia Demographic and Health Survey 2015–16: Key Indicators Report. Yerevan, Armenia. https://armstat.am/</w:t>
      </w:r>
    </w:p>
    <w:p w14:paraId="63C91818"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Ministry of Health of the Republic of Armenia. (2022). Annual Report on the Health of the Population and Activities of the Health Sector 2021. Yerevan: Ministry of Health. https://moh.am</w:t>
      </w:r>
    </w:p>
    <w:p w14:paraId="1B1065B0"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 xml:space="preserve">National Institute of Health after Academician S. </w:t>
      </w:r>
      <w:proofErr w:type="spellStart"/>
      <w:r w:rsidRPr="00FE7E26">
        <w:rPr>
          <w:rFonts w:ascii="Sylfaen" w:eastAsia="Calibri" w:hAnsi="Sylfaen" w:cs="Times New Roman"/>
          <w:kern w:val="2"/>
          <w:lang w:val="en-US" w:eastAsia="en-US"/>
        </w:rPr>
        <w:t>Avdalbekyan</w:t>
      </w:r>
      <w:proofErr w:type="spellEnd"/>
      <w:r w:rsidRPr="00FE7E26">
        <w:rPr>
          <w:rFonts w:ascii="Sylfaen" w:eastAsia="Calibri" w:hAnsi="Sylfaen" w:cs="Times New Roman"/>
          <w:kern w:val="2"/>
          <w:lang w:val="en-US" w:eastAsia="en-US"/>
        </w:rPr>
        <w:t>. (2023). Statistical Yearbook of Health and Healthcare in Armenia 2022. Yerevan: NIH. https://nih.am/am</w:t>
      </w:r>
    </w:p>
    <w:p w14:paraId="7F147430" w14:textId="77777777" w:rsidR="00FE7E26" w:rsidRPr="00FE7E26" w:rsidRDefault="00FE7E26" w:rsidP="00FE7E26">
      <w:pPr>
        <w:pStyle w:val="ListParagraph"/>
        <w:numPr>
          <w:ilvl w:val="0"/>
          <w:numId w:val="40"/>
        </w:num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lastRenderedPageBreak/>
        <w:t xml:space="preserve">Yerevan State Medical University Ethics Committee. (2021). Guidelines for the Preparation and Submission of Research Protocols for Ethical Review. Yerevan: YSMU. https://ysmu.am/ </w:t>
      </w:r>
    </w:p>
    <w:p w14:paraId="6F016B40" w14:textId="77777777" w:rsidR="00FE7E26" w:rsidRDefault="00FE7E26" w:rsidP="00FE7E26">
      <w:pPr>
        <w:spacing w:after="0"/>
        <w:jc w:val="both"/>
        <w:rPr>
          <w:rFonts w:ascii="Sylfaen" w:eastAsia="Calibri" w:hAnsi="Sylfaen" w:cs="Times New Roman"/>
          <w:kern w:val="2"/>
          <w:lang w:val="en-US" w:eastAsia="en-US"/>
        </w:rPr>
      </w:pPr>
    </w:p>
    <w:p w14:paraId="1654C35C" w14:textId="7F580694" w:rsidR="00FE7E26" w:rsidRPr="00FE7E26" w:rsidRDefault="00FE7E26" w:rsidP="00FE7E26">
      <w:pPr>
        <w:spacing w:after="0"/>
        <w:jc w:val="both"/>
        <w:rPr>
          <w:rFonts w:ascii="Sylfaen" w:eastAsia="Calibri" w:hAnsi="Sylfaen" w:cs="Times New Roman"/>
          <w:b/>
          <w:bCs/>
          <w:i/>
          <w:iCs/>
          <w:kern w:val="2"/>
          <w:lang w:val="en-US" w:eastAsia="en-US"/>
        </w:rPr>
      </w:pPr>
      <w:r w:rsidRPr="00FE7E26">
        <w:rPr>
          <w:rFonts w:ascii="Sylfaen" w:eastAsia="Calibri" w:hAnsi="Sylfaen" w:cs="Times New Roman"/>
          <w:b/>
          <w:bCs/>
          <w:i/>
          <w:iCs/>
          <w:kern w:val="2"/>
          <w:lang w:val="en-US" w:eastAsia="en-US"/>
        </w:rPr>
        <w:t>Assessments used</w:t>
      </w:r>
    </w:p>
    <w:p w14:paraId="6C287986"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summative assessment for this module consists of two components:</w:t>
      </w:r>
    </w:p>
    <w:p w14:paraId="67CAE7CA"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A: Paper-Based Test (60% weighting)</w:t>
      </w:r>
    </w:p>
    <w:p w14:paraId="6E2B0F9D"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Component B: Group-Based Case Written Assignment (40% weighting)</w:t>
      </w:r>
    </w:p>
    <w:p w14:paraId="0502F512"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paper-based test includes 50 close-ended questions comprising multiple-choice questions (MCQs), single-best-answer (SBA) items, and exception-type formats. This assessment is designed to evaluate students' understanding of key quantitative research principles, such as the selection and application of study designs, sampling strategies, questionnaire development, threats to validity and reliability, and the interpretation of basic descriptive statistics. Test questions are contextualized using real-world public health examples relevant to Armenia, including national surveys, population health indicators, and monitoring data from the Ministry of Health. To successfully pass this component, students must achieve a minimum of 50% correct responses.</w:t>
      </w:r>
    </w:p>
    <w:p w14:paraId="5D8070E7"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The group-based case written assignment requires students to work collaboratively in small groups to analyze a public health case scenario or simulated dataset reflective of the Armenian context. Within the assignment, students are expected to formulate a clear research question, select an appropriate quantitative study design, justify their sampling approach, propose key questionnaire items, and identify ethical considerations relevant to the research process. This assignment emphasizes the practical application of quantitative reasoning and structured research planning in a real-world setting and is designed to foster analytical thinking and teamwork.</w:t>
      </w:r>
    </w:p>
    <w:p w14:paraId="2378450E" w14:textId="77777777" w:rsidR="00FE7E26" w:rsidRPr="00FE7E26"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Formative assessment includes structured in-class discussions, survey design rehearsals, and peer feedback opportunities to enhance students’ understanding and improve the quality of their applied research design work.</w:t>
      </w:r>
    </w:p>
    <w:p w14:paraId="042BBC61" w14:textId="57FDFC95" w:rsidR="001A3C5B" w:rsidRPr="00916805" w:rsidRDefault="00FE7E26" w:rsidP="00FE7E26">
      <w:pPr>
        <w:spacing w:after="0"/>
        <w:jc w:val="both"/>
        <w:rPr>
          <w:rFonts w:ascii="Sylfaen" w:eastAsia="Calibri" w:hAnsi="Sylfaen" w:cs="Times New Roman"/>
          <w:kern w:val="2"/>
          <w:lang w:val="en-US" w:eastAsia="en-US"/>
        </w:rPr>
      </w:pPr>
      <w:r w:rsidRPr="00FE7E26">
        <w:rPr>
          <w:rFonts w:ascii="Sylfaen" w:eastAsia="Calibri" w:hAnsi="Sylfaen" w:cs="Times New Roman"/>
          <w:kern w:val="2"/>
          <w:lang w:val="en-US" w:eastAsia="en-US"/>
        </w:rPr>
        <w:t>Formative assessment is integrated throughout the module via interactive lectures, case discussions, and data interpretation exercises. These activities allow students to apply theoretical knowledge to real-world case examples, receive feedback on their analytical approach, and reinforce key concepts in preparation for summative evaluation.</w:t>
      </w:r>
    </w:p>
    <w:p w14:paraId="54F31C3C" w14:textId="77777777" w:rsidR="00FE7E26" w:rsidRDefault="00FE7E26" w:rsidP="002133F8">
      <w:pPr>
        <w:spacing w:after="0"/>
        <w:jc w:val="both"/>
        <w:rPr>
          <w:rFonts w:ascii="Sylfaen" w:eastAsia="Calibri" w:hAnsi="Sylfaen" w:cs="Times New Roman"/>
          <w:b/>
          <w:bCs/>
          <w:i/>
          <w:iCs/>
          <w:color w:val="4F81BD" w:themeColor="accent1"/>
          <w:kern w:val="2"/>
          <w:u w:val="single"/>
          <w:lang w:val="en-US" w:eastAsia="en-US"/>
        </w:rPr>
      </w:pPr>
    </w:p>
    <w:p w14:paraId="4116516B" w14:textId="247C7076" w:rsidR="001A3C5B" w:rsidRPr="00916805" w:rsidRDefault="001A3C5B" w:rsidP="002133F8">
      <w:pPr>
        <w:spacing w:after="0"/>
        <w:jc w:val="both"/>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Social and Behavioral Sciences in Public Health </w:t>
      </w:r>
      <w:r w:rsidR="00E63A5D" w:rsidRPr="00E63A5D">
        <w:rPr>
          <w:rFonts w:ascii="Sylfaen" w:eastAsia="Calibri" w:hAnsi="Sylfaen" w:cs="Times New Roman"/>
          <w:b/>
          <w:bCs/>
          <w:i/>
          <w:iCs/>
          <w:color w:val="4F81BD" w:themeColor="accent1"/>
          <w:kern w:val="2"/>
          <w:u w:val="single"/>
          <w:lang w:val="en-US" w:eastAsia="en-US"/>
        </w:rPr>
        <w:t>(3 credits)</w:t>
      </w:r>
    </w:p>
    <w:p w14:paraId="5CFC58C4" w14:textId="77777777" w:rsidR="00B32D8D" w:rsidRDefault="00B32D8D" w:rsidP="002133F8">
      <w:pPr>
        <w:spacing w:after="0"/>
        <w:jc w:val="both"/>
        <w:rPr>
          <w:rFonts w:ascii="Sylfaen" w:eastAsia="Calibri" w:hAnsi="Sylfaen" w:cs="Times New Roman"/>
          <w:kern w:val="2"/>
          <w:lang w:val="en-US" w:eastAsia="en-US"/>
        </w:rPr>
      </w:pPr>
      <w:r w:rsidRPr="00B32D8D">
        <w:rPr>
          <w:rFonts w:ascii="Sylfaen" w:eastAsia="Calibri" w:hAnsi="Sylfaen" w:cs="Times New Roman"/>
          <w:kern w:val="2"/>
          <w:lang w:val="en-US" w:eastAsia="en-US"/>
        </w:rPr>
        <w:t>This module introduces students to the application of behavioral and social science theories in addressing public health challenges, with a focus on Armenia’s cultural and social context. Students examine how social determinants such as poverty, displacement, and aging shape health behaviors, equity, and access to services. Emphasis is placed on designing and evaluating culturally grounded interventions that address mental health stigma, vaccine hesitancy, and health literacy. Through case studies and intersectional approaches, the module prepares students to develop strategies that respond to the needs of vulnerable and marginalized groups in Armenia, including rural, war-affected, and minority populations.</w:t>
      </w:r>
    </w:p>
    <w:p w14:paraId="36D66199" w14:textId="68A75BC4"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Learning competences / objectives</w:t>
      </w:r>
      <w:r w:rsidRPr="00E24C9E">
        <w:rPr>
          <w:rFonts w:ascii="Sylfaen" w:eastAsia="Calibri" w:hAnsi="Sylfaen" w:cs="Times New Roman"/>
          <w:kern w:val="2"/>
          <w:lang w:val="en-US" w:eastAsia="en-US"/>
        </w:rPr>
        <w:t xml:space="preserve"> </w:t>
      </w:r>
    </w:p>
    <w:p w14:paraId="596AFEE0" w14:textId="13844BF1" w:rsidR="00E24C9E" w:rsidRPr="00076CF7" w:rsidRDefault="00E24C9E" w:rsidP="00076CF7">
      <w:pPr>
        <w:pStyle w:val="ListParagraph"/>
        <w:numPr>
          <w:ilvl w:val="0"/>
          <w:numId w:val="83"/>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understanding of key behavioral and social science models and their relevance to public health issues in Armenia.</w:t>
      </w:r>
    </w:p>
    <w:p w14:paraId="78C0BE79" w14:textId="78AE2317" w:rsidR="00E24C9E" w:rsidRPr="00076CF7" w:rsidRDefault="00E24C9E" w:rsidP="00076CF7">
      <w:pPr>
        <w:pStyle w:val="ListParagraph"/>
        <w:numPr>
          <w:ilvl w:val="0"/>
          <w:numId w:val="83"/>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behavioral and cultural principles to design health interventions that address local norms, mental health stigma, and health-seeking behaviors.</w:t>
      </w:r>
    </w:p>
    <w:p w14:paraId="155825C4" w14:textId="5BCCB95F" w:rsidR="00E24C9E" w:rsidRPr="00076CF7" w:rsidRDefault="00E24C9E" w:rsidP="00076CF7">
      <w:pPr>
        <w:pStyle w:val="ListParagraph"/>
        <w:numPr>
          <w:ilvl w:val="0"/>
          <w:numId w:val="83"/>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lastRenderedPageBreak/>
        <w:t>Analyze the impact of social determinants—including displacement, aging, and poverty—on health equity and service access in Armenian communities.</w:t>
      </w:r>
    </w:p>
    <w:p w14:paraId="71AD82C7" w14:textId="58DEF5ED" w:rsidR="00E24C9E" w:rsidRPr="00076CF7" w:rsidRDefault="00E24C9E" w:rsidP="00076CF7">
      <w:pPr>
        <w:pStyle w:val="ListParagraph"/>
        <w:numPr>
          <w:ilvl w:val="0"/>
          <w:numId w:val="83"/>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Use behavioral insights to improve health literacy, vaccine confidence, and communication strategies in culturally and linguistically diverse groups.</w:t>
      </w:r>
    </w:p>
    <w:p w14:paraId="287EFD70" w14:textId="3F98DE7C" w:rsidR="00E24C9E" w:rsidRPr="00076CF7" w:rsidRDefault="00E24C9E" w:rsidP="00076CF7">
      <w:pPr>
        <w:pStyle w:val="ListParagraph"/>
        <w:numPr>
          <w:ilvl w:val="0"/>
          <w:numId w:val="83"/>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Integrate intersectional approaches to assess vulnerabilities among marginalized populations, including war-affected, rural, and ethnic minority groups in Armenia.</w:t>
      </w:r>
    </w:p>
    <w:p w14:paraId="2ACD6FF4" w14:textId="77777777" w:rsidR="00E24C9E" w:rsidRPr="00E24C9E" w:rsidRDefault="00E24C9E" w:rsidP="00E24C9E">
      <w:pPr>
        <w:spacing w:after="0"/>
        <w:rPr>
          <w:rFonts w:ascii="Sylfaen" w:eastAsia="Calibri" w:hAnsi="Sylfaen" w:cs="Times New Roman"/>
          <w:kern w:val="2"/>
          <w:lang w:val="en-US" w:eastAsia="en-US"/>
        </w:rPr>
      </w:pPr>
    </w:p>
    <w:p w14:paraId="264CBB4F" w14:textId="400BF0EB"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Syllabus content</w:t>
      </w:r>
    </w:p>
    <w:p w14:paraId="68BA8D1B" w14:textId="223A162B" w:rsidR="00E24C9E" w:rsidRPr="00076CF7" w:rsidRDefault="00E24C9E" w:rsidP="00076CF7">
      <w:pPr>
        <w:pStyle w:val="ListParagraph"/>
        <w:numPr>
          <w:ilvl w:val="0"/>
          <w:numId w:val="85"/>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 xml:space="preserve">Overview of core social and </w:t>
      </w:r>
      <w:r w:rsidR="00757656" w:rsidRPr="00076CF7">
        <w:rPr>
          <w:rFonts w:ascii="Sylfaen" w:eastAsia="Calibri" w:hAnsi="Sylfaen" w:cs="Times New Roman"/>
          <w:kern w:val="2"/>
          <w:lang w:val="en-US" w:eastAsia="en-US"/>
        </w:rPr>
        <w:t>behavioral</w:t>
      </w:r>
      <w:r w:rsidRPr="00076CF7">
        <w:rPr>
          <w:rFonts w:ascii="Sylfaen" w:eastAsia="Calibri" w:hAnsi="Sylfaen" w:cs="Times New Roman"/>
          <w:kern w:val="2"/>
          <w:lang w:val="en-US" w:eastAsia="en-US"/>
        </w:rPr>
        <w:t xml:space="preserve"> science theories applied to Armenian public health challenges (e.g., smoking, vaccine hesitancy, maternal health).</w:t>
      </w:r>
    </w:p>
    <w:p w14:paraId="57C4229E" w14:textId="3731F454" w:rsidR="00E24C9E" w:rsidRPr="00076CF7" w:rsidRDefault="00E24C9E" w:rsidP="00076CF7">
      <w:pPr>
        <w:pStyle w:val="ListParagraph"/>
        <w:numPr>
          <w:ilvl w:val="0"/>
          <w:numId w:val="85"/>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Social and structural health determinants in Armenia: poverty, displacement, rural–urban disparities, and trust in healthcare institutions.</w:t>
      </w:r>
    </w:p>
    <w:p w14:paraId="1A70F120" w14:textId="08206B89" w:rsidR="00E24C9E" w:rsidRPr="00076CF7" w:rsidRDefault="00E24C9E" w:rsidP="00076CF7">
      <w:pPr>
        <w:pStyle w:val="ListParagraph"/>
        <w:numPr>
          <w:ilvl w:val="0"/>
          <w:numId w:val="85"/>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Mental health stigma and cultural beliefs: implications for reproductive health, aging, and adolescent wellbeing.</w:t>
      </w:r>
    </w:p>
    <w:p w14:paraId="79DF1769" w14:textId="279FE16C" w:rsidR="00E24C9E" w:rsidRPr="00076CF7" w:rsidRDefault="00E24C9E" w:rsidP="00076CF7">
      <w:pPr>
        <w:pStyle w:val="ListParagraph"/>
        <w:numPr>
          <w:ilvl w:val="0"/>
          <w:numId w:val="85"/>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 xml:space="preserve">Culturally grounded design and evaluation of health promotion and </w:t>
      </w:r>
      <w:r w:rsidR="00757656" w:rsidRPr="00076CF7">
        <w:rPr>
          <w:rFonts w:ascii="Sylfaen" w:eastAsia="Calibri" w:hAnsi="Sylfaen" w:cs="Times New Roman"/>
          <w:kern w:val="2"/>
          <w:lang w:val="en-US" w:eastAsia="en-US"/>
        </w:rPr>
        <w:t>behavior</w:t>
      </w:r>
      <w:r w:rsidRPr="00076CF7">
        <w:rPr>
          <w:rFonts w:ascii="Sylfaen" w:eastAsia="Calibri" w:hAnsi="Sylfaen" w:cs="Times New Roman"/>
          <w:kern w:val="2"/>
          <w:lang w:val="en-US" w:eastAsia="en-US"/>
        </w:rPr>
        <w:t xml:space="preserve"> change interventions using case studies from national campaigns.</w:t>
      </w:r>
    </w:p>
    <w:p w14:paraId="7E921F96" w14:textId="3407DD16" w:rsidR="00E24C9E" w:rsidRPr="00076CF7" w:rsidRDefault="00E24C9E" w:rsidP="00076CF7">
      <w:pPr>
        <w:pStyle w:val="ListParagraph"/>
        <w:numPr>
          <w:ilvl w:val="0"/>
          <w:numId w:val="85"/>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Addressing vulnerability and inequality using intersectionality: case scenarios involving LGBTQ+ youth, ethnic minorities, and rural elderly populations.</w:t>
      </w:r>
    </w:p>
    <w:p w14:paraId="46D2B4DA" w14:textId="77777777" w:rsidR="00E24C9E" w:rsidRPr="00E24C9E" w:rsidRDefault="00E24C9E" w:rsidP="00E24C9E">
      <w:pPr>
        <w:spacing w:after="0"/>
        <w:rPr>
          <w:rFonts w:ascii="Sylfaen" w:eastAsia="Calibri" w:hAnsi="Sylfaen" w:cs="Times New Roman"/>
          <w:kern w:val="2"/>
          <w:lang w:val="en-US" w:eastAsia="en-US"/>
        </w:rPr>
      </w:pPr>
    </w:p>
    <w:p w14:paraId="1C70F6AC" w14:textId="48331FB1"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Reading materials associated with the module.</w:t>
      </w:r>
      <w:r w:rsidRPr="00E24C9E">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774D720A"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Glanz, K., Rimer, B.K., &amp; Viswanath, K. (eds) 2015, Health Behavior: Theory, Research, and Practice, 5th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Jossey-Bass.</w:t>
      </w:r>
    </w:p>
    <w:p w14:paraId="7A3E4B59"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Green, L.W., Simons-Morton, D.G., &amp; Gottlieb, N.H. 2021, Behavioral Science and Public Health: An Integrative Approach, Johns Hopkins University Press.</w:t>
      </w:r>
    </w:p>
    <w:p w14:paraId="4B2E69F6"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Wallerstein, N., Duran, B., Oetzel, J., &amp; Minkler, M. (eds) 2017, Community-Based Participatory Research for Health: Advancing Social and Health Equity, 3rd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Jossey-Bass.</w:t>
      </w:r>
    </w:p>
    <w:p w14:paraId="01ADB320"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Van Bavel, J.J., Baicker, K., Boggio, P.S., Capraro, V., Cichocka, A., </w:t>
      </w:r>
      <w:proofErr w:type="spellStart"/>
      <w:r w:rsidRPr="00E24C9E">
        <w:rPr>
          <w:rFonts w:ascii="Sylfaen" w:eastAsia="Calibri" w:hAnsi="Sylfaen" w:cs="Times New Roman"/>
          <w:kern w:val="2"/>
          <w:lang w:val="en-US" w:eastAsia="en-US"/>
        </w:rPr>
        <w:t>Cikara</w:t>
      </w:r>
      <w:proofErr w:type="spellEnd"/>
      <w:r w:rsidRPr="00E24C9E">
        <w:rPr>
          <w:rFonts w:ascii="Sylfaen" w:eastAsia="Calibri" w:hAnsi="Sylfaen" w:cs="Times New Roman"/>
          <w:kern w:val="2"/>
          <w:lang w:val="en-US" w:eastAsia="en-US"/>
        </w:rPr>
        <w:t xml:space="preserve">, M., et al. 2020, Using Social and </w:t>
      </w:r>
      <w:proofErr w:type="spellStart"/>
      <w:r w:rsidRPr="00E24C9E">
        <w:rPr>
          <w:rFonts w:ascii="Sylfaen" w:eastAsia="Calibri" w:hAnsi="Sylfaen" w:cs="Times New Roman"/>
          <w:kern w:val="2"/>
          <w:lang w:val="en-US" w:eastAsia="en-US"/>
        </w:rPr>
        <w:t>Behavioural</w:t>
      </w:r>
      <w:proofErr w:type="spellEnd"/>
      <w:r w:rsidRPr="00E24C9E">
        <w:rPr>
          <w:rFonts w:ascii="Sylfaen" w:eastAsia="Calibri" w:hAnsi="Sylfaen" w:cs="Times New Roman"/>
          <w:kern w:val="2"/>
          <w:lang w:val="en-US" w:eastAsia="en-US"/>
        </w:rPr>
        <w:t xml:space="preserve"> Science to Support COVID-19 Pandemic Response, Nature Human </w:t>
      </w:r>
      <w:proofErr w:type="spellStart"/>
      <w:r w:rsidRPr="00E24C9E">
        <w:rPr>
          <w:rFonts w:ascii="Sylfaen" w:eastAsia="Calibri" w:hAnsi="Sylfaen" w:cs="Times New Roman"/>
          <w:kern w:val="2"/>
          <w:lang w:val="en-US" w:eastAsia="en-US"/>
        </w:rPr>
        <w:t>Behaviour</w:t>
      </w:r>
      <w:proofErr w:type="spellEnd"/>
      <w:r w:rsidRPr="00E24C9E">
        <w:rPr>
          <w:rFonts w:ascii="Sylfaen" w:eastAsia="Calibri" w:hAnsi="Sylfaen" w:cs="Times New Roman"/>
          <w:kern w:val="2"/>
          <w:lang w:val="en-US" w:eastAsia="en-US"/>
        </w:rPr>
        <w:t xml:space="preserve">, vol. 4, pp. 460–471. https://www.ipr.northwestern.edu/documents/working-papers/2020/wp-20-11-1.pdf </w:t>
      </w:r>
    </w:p>
    <w:p w14:paraId="6BE9604D" w14:textId="19F7C275"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National Institute of Health (NIH), Armenia. Annual Reports on Population Health </w:t>
      </w:r>
      <w:proofErr w:type="spellStart"/>
      <w:r w:rsidRPr="00E24C9E">
        <w:rPr>
          <w:rFonts w:ascii="Sylfaen" w:eastAsia="Calibri" w:hAnsi="Sylfaen" w:cs="Times New Roman"/>
          <w:kern w:val="2"/>
          <w:lang w:val="en-US" w:eastAsia="en-US"/>
        </w:rPr>
        <w:t>Behaviour</w:t>
      </w:r>
      <w:proofErr w:type="spellEnd"/>
      <w:r w:rsidRPr="00E24C9E">
        <w:rPr>
          <w:rFonts w:ascii="Sylfaen" w:eastAsia="Calibri" w:hAnsi="Sylfaen" w:cs="Times New Roman"/>
          <w:kern w:val="2"/>
          <w:lang w:val="en-US" w:eastAsia="en-US"/>
        </w:rPr>
        <w:t>, Vaccine Hesitancy, and Mental Health Literacy. (in Armenian)</w:t>
      </w:r>
      <w:r>
        <w:rPr>
          <w:rFonts w:ascii="Sylfaen" w:eastAsia="Calibri" w:hAnsi="Sylfaen" w:cs="Times New Roman"/>
          <w:kern w:val="2"/>
          <w:lang w:val="en-US" w:eastAsia="en-US"/>
        </w:rPr>
        <w:t xml:space="preserve"> </w:t>
      </w:r>
      <w:r w:rsidRPr="00E24C9E">
        <w:rPr>
          <w:rFonts w:ascii="Sylfaen" w:eastAsia="Calibri" w:hAnsi="Sylfaen" w:cs="Times New Roman"/>
          <w:kern w:val="2"/>
          <w:lang w:val="en-US" w:eastAsia="en-US"/>
        </w:rPr>
        <w:t>https://nih.am</w:t>
      </w:r>
    </w:p>
    <w:p w14:paraId="3D25F710"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Armenia. Behavioral and Social Risk Factors in Primary Health Care: Survey Results 2019–2023. (in Armenian) https://moh.am</w:t>
      </w:r>
    </w:p>
    <w:p w14:paraId="073C1E72" w14:textId="77777777" w:rsidR="00E24C9E" w:rsidRPr="00E24C9E" w:rsidRDefault="00E24C9E" w:rsidP="00076CF7">
      <w:pPr>
        <w:pStyle w:val="ListParagraph"/>
        <w:numPr>
          <w:ilvl w:val="0"/>
          <w:numId w:val="41"/>
        </w:numPr>
        <w:spacing w:after="0"/>
        <w:ind w:left="360"/>
        <w:rPr>
          <w:rFonts w:ascii="Sylfaen" w:eastAsia="Calibri" w:hAnsi="Sylfaen" w:cs="Times New Roman"/>
          <w:kern w:val="2"/>
          <w:lang w:val="en-US" w:eastAsia="en-US"/>
        </w:rPr>
      </w:pPr>
      <w:r w:rsidRPr="00E24C9E">
        <w:rPr>
          <w:rFonts w:ascii="Sylfaen" w:eastAsia="Calibri" w:hAnsi="Sylfaen" w:cs="Times New Roman"/>
          <w:kern w:val="2"/>
          <w:lang w:val="en-US" w:eastAsia="en-US"/>
        </w:rPr>
        <w:t>YSMU Bulletin of Public Health. Selected articles on social determinants, mental health stigma, and community engagement in Armenia. (in Armenian) https://ysmu.am/</w:t>
      </w:r>
    </w:p>
    <w:p w14:paraId="4201F304" w14:textId="77777777" w:rsidR="00E24C9E" w:rsidRDefault="00E24C9E" w:rsidP="00E24C9E">
      <w:pPr>
        <w:spacing w:after="0"/>
        <w:rPr>
          <w:rFonts w:ascii="Sylfaen" w:eastAsia="Calibri" w:hAnsi="Sylfaen" w:cs="Times New Roman"/>
          <w:kern w:val="2"/>
          <w:lang w:val="en-US" w:eastAsia="en-US"/>
        </w:rPr>
      </w:pPr>
    </w:p>
    <w:p w14:paraId="71E191CD" w14:textId="5FD4C4EE"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Assessments used</w:t>
      </w:r>
    </w:p>
    <w:p w14:paraId="75A36AEB"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Summative assessment includes two components: </w:t>
      </w:r>
    </w:p>
    <w:p w14:paraId="1949A68B"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Component A: 2,500–3,000 words written research assignment (70% weighting)</w:t>
      </w:r>
    </w:p>
    <w:p w14:paraId="3986EF00"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Component B: Oral presentation (30% weighting)</w:t>
      </w:r>
    </w:p>
    <w:p w14:paraId="088B97F0" w14:textId="26E5A9B4"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 xml:space="preserve">Written research assignment: Each student writes a 2,500–3,000-word paper </w:t>
      </w:r>
      <w:r w:rsidR="00757656" w:rsidRPr="00E24C9E">
        <w:rPr>
          <w:rFonts w:ascii="Sylfaen" w:eastAsia="Calibri" w:hAnsi="Sylfaen" w:cs="Times New Roman"/>
          <w:kern w:val="2"/>
          <w:lang w:val="en-US" w:eastAsia="en-US"/>
        </w:rPr>
        <w:t>analyzing</w:t>
      </w:r>
      <w:r w:rsidRPr="00E24C9E">
        <w:rPr>
          <w:rFonts w:ascii="Sylfaen" w:eastAsia="Calibri" w:hAnsi="Sylfaen" w:cs="Times New Roman"/>
          <w:kern w:val="2"/>
          <w:lang w:val="en-US" w:eastAsia="en-US"/>
        </w:rPr>
        <w:t xml:space="preserve"> a </w:t>
      </w:r>
      <w:r w:rsidR="00757656" w:rsidRPr="00E24C9E">
        <w:rPr>
          <w:rFonts w:ascii="Sylfaen" w:eastAsia="Calibri" w:hAnsi="Sylfaen" w:cs="Times New Roman"/>
          <w:kern w:val="2"/>
          <w:lang w:val="en-US" w:eastAsia="en-US"/>
        </w:rPr>
        <w:t>behavioral</w:t>
      </w:r>
      <w:r w:rsidRPr="00E24C9E">
        <w:rPr>
          <w:rFonts w:ascii="Sylfaen" w:eastAsia="Calibri" w:hAnsi="Sylfaen" w:cs="Times New Roman"/>
          <w:kern w:val="2"/>
          <w:lang w:val="en-US" w:eastAsia="en-US"/>
        </w:rPr>
        <w:t xml:space="preserve"> health issue relevant to Armenia (e.g., vaccine hesitancy in rural regions, mental health stigma in displaced youth, or dietary habits in low-income urban communities). The paper must integrate a theoretical model, use national data or case evidence, and propose an intervention or communication strategy adapted to Armenian context. This assignment assesses the student’s ability to </w:t>
      </w:r>
      <w:r w:rsidR="00757656" w:rsidRPr="00E24C9E">
        <w:rPr>
          <w:rFonts w:ascii="Sylfaen" w:eastAsia="Calibri" w:hAnsi="Sylfaen" w:cs="Times New Roman"/>
          <w:kern w:val="2"/>
          <w:lang w:val="en-US" w:eastAsia="en-US"/>
        </w:rPr>
        <w:t>analyze</w:t>
      </w:r>
      <w:r w:rsidRPr="00E24C9E">
        <w:rPr>
          <w:rFonts w:ascii="Sylfaen" w:eastAsia="Calibri" w:hAnsi="Sylfaen" w:cs="Times New Roman"/>
          <w:kern w:val="2"/>
          <w:lang w:val="en-US" w:eastAsia="en-US"/>
        </w:rPr>
        <w:t xml:space="preserve"> a </w:t>
      </w:r>
      <w:r w:rsidR="00757656" w:rsidRPr="00E24C9E">
        <w:rPr>
          <w:rFonts w:ascii="Sylfaen" w:eastAsia="Calibri" w:hAnsi="Sylfaen" w:cs="Times New Roman"/>
          <w:kern w:val="2"/>
          <w:lang w:val="en-US" w:eastAsia="en-US"/>
        </w:rPr>
        <w:t>behavioral</w:t>
      </w:r>
      <w:r w:rsidRPr="00E24C9E">
        <w:rPr>
          <w:rFonts w:ascii="Sylfaen" w:eastAsia="Calibri" w:hAnsi="Sylfaen" w:cs="Times New Roman"/>
          <w:kern w:val="2"/>
          <w:lang w:val="en-US" w:eastAsia="en-US"/>
        </w:rPr>
        <w:t xml:space="preserve"> health issue relevant to Armenia, apply appropriate social and </w:t>
      </w:r>
      <w:r w:rsidR="00757656" w:rsidRPr="00E24C9E">
        <w:rPr>
          <w:rFonts w:ascii="Sylfaen" w:eastAsia="Calibri" w:hAnsi="Sylfaen" w:cs="Times New Roman"/>
          <w:kern w:val="2"/>
          <w:lang w:val="en-US" w:eastAsia="en-US"/>
        </w:rPr>
        <w:t>behavioral</w:t>
      </w:r>
      <w:r w:rsidRPr="00E24C9E">
        <w:rPr>
          <w:rFonts w:ascii="Sylfaen" w:eastAsia="Calibri" w:hAnsi="Sylfaen" w:cs="Times New Roman"/>
          <w:kern w:val="2"/>
          <w:lang w:val="en-US" w:eastAsia="en-US"/>
        </w:rPr>
        <w:t xml:space="preserve"> science theories, integrate national data or case-based evidence, and propose an intervention or communication strategy adapted to the Armenian context. It also evaluates critical thinking, the application of theoretical models, and written academic communication.</w:t>
      </w:r>
    </w:p>
    <w:p w14:paraId="6E5089DB" w14:textId="10CDC2EB"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Oral presentation: Students present their findings to peers and instructors, demonstrating applied understanding of </w:t>
      </w:r>
      <w:r w:rsidR="00757656" w:rsidRPr="00E24C9E">
        <w:rPr>
          <w:rFonts w:ascii="Sylfaen" w:eastAsia="Calibri" w:hAnsi="Sylfaen" w:cs="Times New Roman"/>
          <w:kern w:val="2"/>
          <w:lang w:val="en-US" w:eastAsia="en-US"/>
        </w:rPr>
        <w:t>behavioral</w:t>
      </w:r>
      <w:r w:rsidRPr="00E24C9E">
        <w:rPr>
          <w:rFonts w:ascii="Sylfaen" w:eastAsia="Calibri" w:hAnsi="Sylfaen" w:cs="Times New Roman"/>
          <w:kern w:val="2"/>
          <w:lang w:val="en-US" w:eastAsia="en-US"/>
        </w:rPr>
        <w:t xml:space="preserve"> science in local public health scenarios. Emphasis is placed on cultural competence, intervention feasibility, and policy relevance. It assesses the student’s ability to clearly and persuasively present their findings, demonstrate cultural competence, communicate intervention feasibility, and explain the relevance of their proposal to public health policy or practice. The presentation also supports the development of professional public speaking and communication skills.</w:t>
      </w:r>
    </w:p>
    <w:p w14:paraId="4167ED3C" w14:textId="77777777" w:rsidR="00E24C9E" w:rsidRDefault="00E24C9E" w:rsidP="00E24C9E">
      <w:pPr>
        <w:spacing w:after="0"/>
        <w:rPr>
          <w:rFonts w:ascii="Sylfaen" w:eastAsia="Calibri" w:hAnsi="Sylfaen" w:cs="Times New Roman"/>
          <w:b/>
          <w:bCs/>
          <w:i/>
          <w:iCs/>
          <w:color w:val="4F81BD" w:themeColor="accent1"/>
          <w:kern w:val="2"/>
          <w:u w:val="single"/>
          <w:lang w:val="en-US" w:eastAsia="en-US"/>
        </w:rPr>
      </w:pPr>
      <w:r w:rsidRPr="00E24C9E">
        <w:rPr>
          <w:rFonts w:ascii="Sylfaen" w:eastAsia="Calibri" w:hAnsi="Sylfaen" w:cs="Times New Roman"/>
          <w:kern w:val="2"/>
          <w:lang w:val="en-US" w:eastAsia="en-US"/>
        </w:rPr>
        <w:t>Formative assessment includes in-class group activities, discussion-based feedback, and guidance during topic selection and proposal development stages. Constructive feedback is provided prior to the submission and presentation stages.</w:t>
      </w:r>
      <w:r w:rsidR="001A3C5B" w:rsidRPr="00916805">
        <w:rPr>
          <w:rFonts w:ascii="Sylfaen" w:eastAsia="Calibri" w:hAnsi="Sylfaen" w:cs="Times New Roman"/>
          <w:kern w:val="2"/>
          <w:lang w:val="en-US" w:eastAsia="en-US"/>
        </w:rPr>
        <w:br/>
      </w:r>
    </w:p>
    <w:p w14:paraId="4B3F2D3C" w14:textId="0093CE8F" w:rsidR="001A3C5B" w:rsidRPr="00916805" w:rsidRDefault="001A3C5B" w:rsidP="00E24C9E">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Health</w:t>
      </w:r>
      <w:r w:rsidR="00B32D8D">
        <w:rPr>
          <w:rFonts w:ascii="Sylfaen" w:eastAsia="Calibri" w:hAnsi="Sylfaen" w:cs="Times New Roman"/>
          <w:b/>
          <w:bCs/>
          <w:i/>
          <w:iCs/>
          <w:color w:val="4F81BD" w:themeColor="accent1"/>
          <w:kern w:val="2"/>
          <w:u w:val="single"/>
          <w:lang w:val="en-US" w:eastAsia="en-US"/>
        </w:rPr>
        <w:t>c</w:t>
      </w:r>
      <w:r w:rsidRPr="00916805">
        <w:rPr>
          <w:rFonts w:ascii="Sylfaen" w:eastAsia="Calibri" w:hAnsi="Sylfaen" w:cs="Times New Roman"/>
          <w:b/>
          <w:bCs/>
          <w:i/>
          <w:iCs/>
          <w:color w:val="4F81BD" w:themeColor="accent1"/>
          <w:kern w:val="2"/>
          <w:u w:val="single"/>
          <w:lang w:val="en-US" w:eastAsia="en-US"/>
        </w:rPr>
        <w:t xml:space="preserve">are </w:t>
      </w:r>
      <w:r w:rsidR="00B32D8D">
        <w:rPr>
          <w:rFonts w:ascii="Sylfaen" w:eastAsia="Calibri" w:hAnsi="Sylfaen" w:cs="Times New Roman"/>
          <w:b/>
          <w:bCs/>
          <w:i/>
          <w:iCs/>
          <w:color w:val="4F81BD" w:themeColor="accent1"/>
          <w:kern w:val="2"/>
          <w:u w:val="single"/>
          <w:lang w:val="en-US" w:eastAsia="en-US"/>
        </w:rPr>
        <w:t>Planning</w:t>
      </w:r>
      <w:r w:rsidRPr="00916805">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28EE651D" w14:textId="527DF8BB" w:rsidR="001A3C5B" w:rsidRDefault="00B32D8D" w:rsidP="002133F8">
      <w:pPr>
        <w:spacing w:after="0"/>
        <w:jc w:val="both"/>
        <w:rPr>
          <w:rFonts w:ascii="Sylfaen" w:eastAsia="Calibri" w:hAnsi="Sylfaen" w:cs="Times New Roman"/>
          <w:kern w:val="2"/>
          <w:lang w:val="en-US" w:eastAsia="en-US"/>
        </w:rPr>
      </w:pPr>
      <w:r w:rsidRPr="00B32D8D">
        <w:rPr>
          <w:rFonts w:ascii="Sylfaen" w:eastAsia="Calibri" w:hAnsi="Sylfaen" w:cs="Times New Roman"/>
          <w:kern w:val="2"/>
          <w:lang w:val="en-US" w:eastAsia="en-US"/>
        </w:rPr>
        <w:t>This module provides students with a comprehensive understanding of healthcare planning principles and their application within Armenia’s evolving and decentralized health system. Students learn to conduct health needs assessments using epidemiological and administrative data, and to apply strategic planning tools such as SWOT analysis, problem trees, and logical frameworks. The module emphasizes the development of evidence-informed health plans that integrate budgeting, resource allocation, implementation strategies, and insurance coverage within the context of national benefit packages and ongoing sector reforms. Special attention is given to addressing health inequalities and social determinants of health, with focused applications in maternal and child health, rural and underserved populations, and displaced communities. By the end of the module, students will be able to design comprehensive and adaptive healthcare plans aligned with national priorities, financing mechanisms, and Sustainable Development Goals.</w:t>
      </w:r>
    </w:p>
    <w:p w14:paraId="698CFAD9" w14:textId="423737C1"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Learning competences / objectives</w:t>
      </w:r>
      <w:r w:rsidRPr="00E24C9E">
        <w:rPr>
          <w:rFonts w:ascii="Sylfaen" w:eastAsia="Calibri" w:hAnsi="Sylfaen" w:cs="Times New Roman"/>
          <w:kern w:val="2"/>
          <w:lang w:val="en-US" w:eastAsia="en-US"/>
        </w:rPr>
        <w:t xml:space="preserve"> </w:t>
      </w:r>
    </w:p>
    <w:p w14:paraId="60804F17" w14:textId="62FD4205" w:rsidR="00E24C9E" w:rsidRPr="00076CF7" w:rsidRDefault="00E24C9E" w:rsidP="00076CF7">
      <w:pPr>
        <w:pStyle w:val="ListParagraph"/>
        <w:numPr>
          <w:ilvl w:val="0"/>
          <w:numId w:val="8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healthcare planning principles, including systems thinking and structured frameworks to address public health needs within decentralized and evolving health systems.</w:t>
      </w:r>
    </w:p>
    <w:p w14:paraId="356713A7" w14:textId="7F09B959" w:rsidR="00E24C9E" w:rsidRPr="00076CF7" w:rsidRDefault="00E24C9E" w:rsidP="00076CF7">
      <w:pPr>
        <w:pStyle w:val="ListParagraph"/>
        <w:numPr>
          <w:ilvl w:val="0"/>
          <w:numId w:val="8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the ability to assess population health needs using appropriate data sources—such as national statistics, health surveys, and administrative data—and apply strategic planning tools including SWOT analysis, logic models, and priority-setting techniques.</w:t>
      </w:r>
    </w:p>
    <w:p w14:paraId="4E69AF88" w14:textId="1691151A" w:rsidR="00E24C9E" w:rsidRPr="00076CF7" w:rsidRDefault="00E24C9E" w:rsidP="00076CF7">
      <w:pPr>
        <w:pStyle w:val="ListParagraph"/>
        <w:numPr>
          <w:ilvl w:val="0"/>
          <w:numId w:val="8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competence in developing comprehensive, evidence-informed health plans that integrate budgeting, resource allocation, implementation strategies, and insurance coverage considerations in the context of national benefit packages and health sector reforms.</w:t>
      </w:r>
    </w:p>
    <w:p w14:paraId="477FC148" w14:textId="2EF48074" w:rsidR="00E24C9E" w:rsidRPr="00076CF7" w:rsidRDefault="00E24C9E" w:rsidP="00076CF7">
      <w:pPr>
        <w:pStyle w:val="ListParagraph"/>
        <w:numPr>
          <w:ilvl w:val="0"/>
          <w:numId w:val="8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awareness of how healthcare planning can address social determinants of health and reduce health inequalities, particularly in underserved, rural, or displaced communities, and within maternal and child health programming.</w:t>
      </w:r>
    </w:p>
    <w:p w14:paraId="0B26CEEF" w14:textId="77777777" w:rsidR="00E24C9E" w:rsidRPr="00E24C9E" w:rsidRDefault="00E24C9E" w:rsidP="00E24C9E">
      <w:pPr>
        <w:spacing w:after="0"/>
        <w:rPr>
          <w:rFonts w:ascii="Sylfaen" w:eastAsia="Calibri" w:hAnsi="Sylfaen" w:cs="Times New Roman"/>
          <w:kern w:val="2"/>
          <w:lang w:val="en-US" w:eastAsia="en-US"/>
        </w:rPr>
      </w:pPr>
    </w:p>
    <w:p w14:paraId="6ADD7040" w14:textId="0F54C5DC"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Syllabus content</w:t>
      </w:r>
    </w:p>
    <w:p w14:paraId="4C2847C0" w14:textId="4372D60F"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Foundations of healthcare planning: planning principles, structured models, systems thinking, and their application within transitioning and mixed health system contexts.</w:t>
      </w:r>
    </w:p>
    <w:p w14:paraId="40557E5F" w14:textId="5389DFC1"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Situational analysis and health needs assessment: use of epidemiological, demographic, and service utilization data from national surveys and statistical reports to define planning priorities.</w:t>
      </w:r>
    </w:p>
    <w:p w14:paraId="2ADDD263" w14:textId="210E3AC4"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Strategic planning tools: application of SWOT, stakeholder mapping, logical frameworks, and problem trees to design health interventions tailored to national and subnational contexts.</w:t>
      </w:r>
    </w:p>
    <w:p w14:paraId="1ADCEB92" w14:textId="759883F1"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Planning cycles and key stages: goal-setting, objective formulation, strategy development, implementation design, and budgeting aligned with national health strategies and financing mechanisms.</w:t>
      </w:r>
    </w:p>
    <w:p w14:paraId="2845FE15" w14:textId="72A3E07C"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Priority setting and resource allocation: use of cost-effectiveness, equity, and feasibility criteria in planning under limited resources, with attention to benefit package development and rural health disparities.</w:t>
      </w:r>
    </w:p>
    <w:p w14:paraId="20312E64" w14:textId="6E8379DB"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Integration of social determinants and equity considerations: planning frameworks that address socioeconomic, geographic, and access-related disparities in service delivery.</w:t>
      </w:r>
    </w:p>
    <w:p w14:paraId="19CD861A" w14:textId="6327C1F8"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National and regional planning processes: roles of central ministries, provincial authorities, and intersectoral partnerships in aligning health plans with overarching development and SDG commitments.</w:t>
      </w:r>
    </w:p>
    <w:p w14:paraId="7C9E49C4" w14:textId="3E031E3F"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Maternal and child health in planning: life-course approaches, continuum of care models, and evidence-based interventions informed by strategic frameworks and national program targets.</w:t>
      </w:r>
    </w:p>
    <w:p w14:paraId="5F80D87D" w14:textId="7E33FDBC" w:rsidR="00E24C9E" w:rsidRPr="00076CF7" w:rsidRDefault="00E24C9E" w:rsidP="00076CF7">
      <w:pPr>
        <w:pStyle w:val="ListParagraph"/>
        <w:numPr>
          <w:ilvl w:val="0"/>
          <w:numId w:val="8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Planning feedback mechanisms: incorporation of performance indicators, routine review systems, and participatory stakeholder engagement practices into adaptive planning processes.</w:t>
      </w:r>
    </w:p>
    <w:p w14:paraId="6CFE3003" w14:textId="77777777" w:rsidR="00E24C9E" w:rsidRPr="00E24C9E" w:rsidRDefault="00E24C9E" w:rsidP="00E24C9E">
      <w:pPr>
        <w:spacing w:after="0"/>
        <w:rPr>
          <w:rFonts w:ascii="Sylfaen" w:eastAsia="Calibri" w:hAnsi="Sylfaen" w:cs="Times New Roman"/>
          <w:kern w:val="2"/>
          <w:lang w:val="en-US" w:eastAsia="en-US"/>
        </w:rPr>
      </w:pPr>
    </w:p>
    <w:p w14:paraId="6E84E5EA" w14:textId="7C38A97A"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Reading materials associated with the module.</w:t>
      </w:r>
      <w:r w:rsidRPr="00E24C9E">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57949BC0"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Green, A., &amp; Collins, C. (2019). Health Planning: An Introduction to Strategy and Systems (2nd ed.). Oxford University Press.</w:t>
      </w:r>
    </w:p>
    <w:p w14:paraId="46046803"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Kettner, P.M., Moroney, R.M., &amp; Martin, L.L. (2017). Designing and Managing Programs: An Effectiveness-Based Approach (5th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SAGE Publications.</w:t>
      </w:r>
    </w:p>
    <w:p w14:paraId="3806DD1A"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Issel, L.M. &amp; Wells, R. (2017). Health Program Planning and Evaluation: A Practical, Systematic Approach for Community Health (4th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Jones &amp; Bartlett Learning.</w:t>
      </w:r>
    </w:p>
    <w:p w14:paraId="5E5E66D4"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proofErr w:type="spellStart"/>
      <w:r w:rsidRPr="00E24C9E">
        <w:rPr>
          <w:rFonts w:ascii="Sylfaen" w:eastAsia="Calibri" w:hAnsi="Sylfaen" w:cs="Times New Roman"/>
          <w:kern w:val="2"/>
          <w:lang w:val="en-US" w:eastAsia="en-US"/>
        </w:rPr>
        <w:t>Andreasyan</w:t>
      </w:r>
      <w:proofErr w:type="spellEnd"/>
      <w:r w:rsidRPr="00E24C9E">
        <w:rPr>
          <w:rFonts w:ascii="Sylfaen" w:eastAsia="Calibri" w:hAnsi="Sylfaen" w:cs="Times New Roman"/>
          <w:kern w:val="2"/>
          <w:lang w:val="en-US" w:eastAsia="en-US"/>
        </w:rPr>
        <w:t xml:space="preserve">, D., </w:t>
      </w:r>
      <w:proofErr w:type="spellStart"/>
      <w:r w:rsidRPr="00E24C9E">
        <w:rPr>
          <w:rFonts w:ascii="Sylfaen" w:eastAsia="Calibri" w:hAnsi="Sylfaen" w:cs="Times New Roman"/>
          <w:kern w:val="2"/>
          <w:lang w:val="en-US" w:eastAsia="en-US"/>
        </w:rPr>
        <w:t>Bazarchyan</w:t>
      </w:r>
      <w:proofErr w:type="spellEnd"/>
      <w:r w:rsidRPr="00E24C9E">
        <w:rPr>
          <w:rFonts w:ascii="Sylfaen" w:eastAsia="Calibri" w:hAnsi="Sylfaen" w:cs="Times New Roman"/>
          <w:kern w:val="2"/>
          <w:lang w:val="en-US" w:eastAsia="en-US"/>
        </w:rPr>
        <w:t xml:space="preserve">, A., et al. (2024). Health System Performance Assessment: Armenia 2024. Yerevan: National Institute of Health. https://nih.am/am </w:t>
      </w:r>
    </w:p>
    <w:p w14:paraId="7E62924B"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World Health Organization (WHO). (2010). Practical Guidance for the Development of a National Health Plan. https://iris.who.int/bitstream/handle/10665/127766/HLP%20Agenda%20item%202.2%20-%20Development%20of%20NHPS.pdf </w:t>
      </w:r>
    </w:p>
    <w:p w14:paraId="7C93083A"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Richardson, E. (2013). Armenia: Health System Review. Health Systems in Transition,</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 xml:space="preserve">15(4). https://iris.who.int/handle/10665/330304 </w:t>
      </w:r>
    </w:p>
    <w:p w14:paraId="7C7E5C48"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World Health Organization (WHO). (2010). Health Systems Financing: The Path to Universal Coverage. https://iris.who.int/handle/10665/44371 </w:t>
      </w:r>
    </w:p>
    <w:p w14:paraId="284D5434"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Ministry of Health of the Republic of Armenia. (2021). Health Sector Development Strategy of Armenia 2021–2026. https://moh.am</w:t>
      </w:r>
    </w:p>
    <w:p w14:paraId="64EA3716"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the Republic of Armenia. (2023). Maternal and Child Health Strategy 2023–2026. https://moh.am</w:t>
      </w:r>
    </w:p>
    <w:p w14:paraId="0572B845" w14:textId="77777777" w:rsidR="00E24C9E" w:rsidRPr="00E24C9E" w:rsidRDefault="00E24C9E" w:rsidP="00E24C9E">
      <w:pPr>
        <w:pStyle w:val="ListParagraph"/>
        <w:numPr>
          <w:ilvl w:val="0"/>
          <w:numId w:val="42"/>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National Institute of Health, Armenia. (Annual). Health and Healthcare: Statistical Yearbook of Armenia. https://nih.am/am</w:t>
      </w:r>
    </w:p>
    <w:p w14:paraId="4E778887" w14:textId="77777777" w:rsidR="00E24C9E" w:rsidRDefault="00E24C9E" w:rsidP="00E24C9E">
      <w:pPr>
        <w:spacing w:after="0"/>
        <w:rPr>
          <w:rFonts w:ascii="Sylfaen" w:eastAsia="Calibri" w:hAnsi="Sylfaen" w:cs="Times New Roman"/>
          <w:b/>
          <w:bCs/>
          <w:i/>
          <w:iCs/>
          <w:kern w:val="2"/>
          <w:lang w:val="en-US" w:eastAsia="en-US"/>
        </w:rPr>
      </w:pPr>
    </w:p>
    <w:p w14:paraId="142C539F" w14:textId="36C569C5"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Assessments used</w:t>
      </w:r>
    </w:p>
    <w:p w14:paraId="0390A7F3"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The summative assessment for this module consists of a 50-item structured computer-based test (CBT) aimed at evaluating students’ theoretical knowledge and applied understanding of healthcare planning principles and practices. The test includes the following types of questions:</w:t>
      </w:r>
    </w:p>
    <w:p w14:paraId="5F87B6B2" w14:textId="27BF9523" w:rsidR="00E24C9E" w:rsidRPr="00076CF7" w:rsidRDefault="00E24C9E" w:rsidP="00076CF7">
      <w:pPr>
        <w:pStyle w:val="ListParagraph"/>
        <w:numPr>
          <w:ilvl w:val="0"/>
          <w:numId w:val="91"/>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Multiple-choice questions (MCQs) with one correct answer to assess understanding of core planning concepts and tools;</w:t>
      </w:r>
    </w:p>
    <w:p w14:paraId="7478A4F3" w14:textId="450BCF61" w:rsidR="00E24C9E" w:rsidRPr="00076CF7" w:rsidRDefault="00E24C9E" w:rsidP="00076CF7">
      <w:pPr>
        <w:pStyle w:val="ListParagraph"/>
        <w:numPr>
          <w:ilvl w:val="0"/>
          <w:numId w:val="91"/>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Single-best-answer questions, where students must identify the most appropriate response from a list of plausible options;</w:t>
      </w:r>
    </w:p>
    <w:p w14:paraId="535CF9C2" w14:textId="56610349" w:rsidR="00E24C9E" w:rsidRPr="00076CF7" w:rsidRDefault="00E24C9E" w:rsidP="00076CF7">
      <w:pPr>
        <w:pStyle w:val="ListParagraph"/>
        <w:numPr>
          <w:ilvl w:val="0"/>
          <w:numId w:val="91"/>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Exception-type questions, where students are asked to select the one option that is not applicable to a given planning scenario or statement.</w:t>
      </w:r>
    </w:p>
    <w:p w14:paraId="30E66E81"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To successfully complete the module, students must achieve a score of more than 50% correct responses.</w:t>
      </w:r>
    </w:p>
    <w:p w14:paraId="132A1B57"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This assessment format ensures comprehensive evaluation of students’ ability to recognize correct planning approaches, differentiate between relevant and irrelevant strategies, and apply analytical reasoning to realistic public health planning contexts.</w:t>
      </w:r>
    </w:p>
    <w:p w14:paraId="57343791" w14:textId="51678F3A" w:rsidR="00B32D8D"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Formative assessment is embedded through in-class exercises and scenario-based discussions that mirror the structure and content of the final test. These activities help students familiarize themselves with question styles and reinforce their conceptual understanding through immediate feedback and clarification.</w:t>
      </w:r>
    </w:p>
    <w:p w14:paraId="31250A85" w14:textId="77777777" w:rsidR="00E24C9E" w:rsidRDefault="00E24C9E" w:rsidP="001C1482">
      <w:pPr>
        <w:spacing w:after="0"/>
        <w:rPr>
          <w:rFonts w:ascii="Sylfaen" w:eastAsia="Calibri" w:hAnsi="Sylfaen" w:cs="Times New Roman"/>
          <w:b/>
          <w:bCs/>
          <w:i/>
          <w:iCs/>
          <w:color w:val="4F81BD" w:themeColor="accent1"/>
          <w:kern w:val="2"/>
          <w:u w:val="single"/>
          <w:lang w:val="en-US" w:eastAsia="en-US"/>
        </w:rPr>
      </w:pPr>
    </w:p>
    <w:p w14:paraId="7A649F4F" w14:textId="5ABD7457" w:rsidR="001A3C5B" w:rsidRPr="00916805" w:rsidRDefault="00B32D8D" w:rsidP="001C1482">
      <w:pPr>
        <w:spacing w:after="0"/>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t>Environmental Health</w:t>
      </w:r>
      <w:r w:rsidR="001A3C5B" w:rsidRPr="00916805">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630C3714" w14:textId="6A046132" w:rsidR="00E24C9E" w:rsidRPr="00E24C9E" w:rsidRDefault="00B32D8D" w:rsidP="00E24C9E">
      <w:pPr>
        <w:spacing w:after="0"/>
        <w:jc w:val="both"/>
        <w:rPr>
          <w:rFonts w:ascii="Sylfaen" w:eastAsia="Calibri" w:hAnsi="Sylfaen" w:cs="Times New Roman"/>
          <w:kern w:val="2"/>
          <w:lang w:val="en-US" w:eastAsia="en-US"/>
        </w:rPr>
      </w:pPr>
      <w:r w:rsidRPr="00B32D8D">
        <w:rPr>
          <w:rFonts w:ascii="Sylfaen" w:eastAsia="Calibri" w:hAnsi="Sylfaen" w:cs="Times New Roman"/>
          <w:kern w:val="2"/>
          <w:lang w:val="en-US" w:eastAsia="en-US"/>
        </w:rPr>
        <w:t>This module explores the relationships between environmental factors and population health, with an emphasis on risks, interventions, and policies relevant to Armenia. Students learn to assess and manage environmental and occupational hazards across domains such as air and water quality, food systems, housing, and climate change, using Armenian surveillance data and case studies. The module highlights approach to environmental justice, child health, and nutrition, while introducing frameworks for risk assessment, exposure monitoring, and regulatory action. Students also examine climate change adaptation, the One Health approach, and planetary health principles, equipping them to design evidence-informed interventions and contribute to sustainable public health planning in Armenia.</w:t>
      </w:r>
      <w:r w:rsidR="001A3C5B" w:rsidRPr="00916805">
        <w:rPr>
          <w:rFonts w:ascii="Sylfaen" w:eastAsia="Calibri" w:hAnsi="Sylfaen" w:cs="Times New Roman"/>
          <w:kern w:val="2"/>
          <w:lang w:val="en-US" w:eastAsia="en-US"/>
        </w:rPr>
        <w:br/>
      </w:r>
      <w:r w:rsidR="00E24C9E" w:rsidRPr="00E24C9E">
        <w:rPr>
          <w:rFonts w:ascii="Sylfaen" w:eastAsia="Calibri" w:hAnsi="Sylfaen" w:cs="Times New Roman"/>
          <w:b/>
          <w:bCs/>
          <w:i/>
          <w:iCs/>
          <w:kern w:val="2"/>
          <w:lang w:val="en-US" w:eastAsia="en-US"/>
        </w:rPr>
        <w:t>Learning competences / objectives</w:t>
      </w:r>
      <w:r w:rsidR="00E24C9E" w:rsidRPr="00E24C9E">
        <w:rPr>
          <w:rFonts w:ascii="Sylfaen" w:eastAsia="Calibri" w:hAnsi="Sylfaen" w:cs="Times New Roman"/>
          <w:kern w:val="2"/>
          <w:lang w:val="en-US" w:eastAsia="en-US"/>
        </w:rPr>
        <w:t xml:space="preserve"> </w:t>
      </w:r>
    </w:p>
    <w:p w14:paraId="66A9F0CD" w14:textId="2B3D721D"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understanding of how environmental factors—including physical, chemical, biological, and ecological hazards—impact population health in both global and Armenian settings.</w:t>
      </w:r>
    </w:p>
    <w:p w14:paraId="2087CFF3" w14:textId="50E7E2CC"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environmental health principles to assess, monitor, and manage risks in air, water, housing, food systems, and occupational settings, using real-world examples from Armenia.</w:t>
      </w:r>
    </w:p>
    <w:p w14:paraId="15417133" w14:textId="41CFC98F"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Evaluate interventions, regulations, and policies aimed at reducing exposure and promoting environmental justice, with reference to Armenian legal and institutional frameworks.</w:t>
      </w:r>
    </w:p>
    <w:p w14:paraId="0AA075CA" w14:textId="047066F6"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proofErr w:type="spellStart"/>
      <w:r w:rsidRPr="00076CF7">
        <w:rPr>
          <w:rFonts w:ascii="Sylfaen" w:eastAsia="Calibri" w:hAnsi="Sylfaen" w:cs="Times New Roman"/>
          <w:kern w:val="2"/>
          <w:lang w:val="en-US" w:eastAsia="en-US"/>
        </w:rPr>
        <w:t>Analyse</w:t>
      </w:r>
      <w:proofErr w:type="spellEnd"/>
      <w:r w:rsidRPr="00076CF7">
        <w:rPr>
          <w:rFonts w:ascii="Sylfaen" w:eastAsia="Calibri" w:hAnsi="Sylfaen" w:cs="Times New Roman"/>
          <w:kern w:val="2"/>
          <w:lang w:val="en-US" w:eastAsia="en-US"/>
        </w:rPr>
        <w:t xml:space="preserve"> the health impacts of climate change and environmental determinants of nutrition, particularly for vulnerable groups such as children and rural populations in Armenia.</w:t>
      </w:r>
    </w:p>
    <w:p w14:paraId="48D38C11" w14:textId="15419C9C"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lastRenderedPageBreak/>
        <w:t>Design and assess preventive interventions addressing environmental and occupational exposures, integrating systems thinking and local public health priorities.</w:t>
      </w:r>
    </w:p>
    <w:p w14:paraId="76B13F2A" w14:textId="7C687D8C"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the One Health approach to address risks emerging at the human–animal–environment interface, with relevance to Armenia’s agricultural and ecological landscape.</w:t>
      </w:r>
    </w:p>
    <w:p w14:paraId="08D12A0B" w14:textId="3F5E2065" w:rsidR="00E24C9E" w:rsidRPr="00076CF7" w:rsidRDefault="00E24C9E" w:rsidP="00076CF7">
      <w:pPr>
        <w:pStyle w:val="ListParagraph"/>
        <w:numPr>
          <w:ilvl w:val="0"/>
          <w:numId w:val="93"/>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awareness of planetary health and sustainability principles in national public health planning.</w:t>
      </w:r>
    </w:p>
    <w:p w14:paraId="5B469E2B" w14:textId="77777777" w:rsidR="00E24C9E" w:rsidRPr="00E24C9E" w:rsidRDefault="00E24C9E" w:rsidP="00E24C9E">
      <w:pPr>
        <w:spacing w:after="0"/>
        <w:jc w:val="both"/>
        <w:rPr>
          <w:rFonts w:ascii="Sylfaen" w:eastAsia="Calibri" w:hAnsi="Sylfaen" w:cs="Times New Roman"/>
          <w:kern w:val="2"/>
          <w:lang w:val="en-US" w:eastAsia="en-US"/>
        </w:rPr>
      </w:pPr>
    </w:p>
    <w:p w14:paraId="3F2EBDF9" w14:textId="18C91936"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Syllabus content</w:t>
      </w:r>
      <w:r w:rsidRPr="00E24C9E">
        <w:rPr>
          <w:rFonts w:ascii="Sylfaen" w:eastAsia="Calibri" w:hAnsi="Sylfaen" w:cs="Times New Roman"/>
          <w:kern w:val="2"/>
          <w:lang w:val="en-US" w:eastAsia="en-US"/>
        </w:rPr>
        <w:t xml:space="preserve"> </w:t>
      </w:r>
    </w:p>
    <w:p w14:paraId="7F3AD7F0" w14:textId="3315BE41"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Core concepts in environmental public health and disease burden attributable to environmental exposures, with focus on preventive strategies and relevance to Armenia.</w:t>
      </w:r>
    </w:p>
    <w:p w14:paraId="0F7B1444" w14:textId="6578A573"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Air and water pollution, housing, food systems, and climate change: health risks and mitigation strategies illustrated by Armenian case studies and surveillance data.</w:t>
      </w:r>
    </w:p>
    <w:p w14:paraId="7FC534C3" w14:textId="73DEA5C0"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Risk assessment and exposure monitoring methods applied to physical, chemical, and biological hazards; national standards and Armenian institutional practices.</w:t>
      </w:r>
    </w:p>
    <w:p w14:paraId="4B8628A8" w14:textId="32DB7824"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Occupational health in public health: key hazards in Armenia’s mining, construction, and agricultural sectors.</w:t>
      </w:r>
    </w:p>
    <w:p w14:paraId="74D28CC5" w14:textId="00DDEB0D"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Environmental influences on nutrition and child health in Armenia; social determinants and regional disparities.</w:t>
      </w:r>
    </w:p>
    <w:p w14:paraId="4C6F564E" w14:textId="698403AC"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Environmental justice and health equity: addressing geographic and socioeconomic vulnerabilities within Armenia.</w:t>
      </w:r>
    </w:p>
    <w:p w14:paraId="664EC82C" w14:textId="560AE55E"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Climate change adaptation and resilience strategies at the community level, aligned with Armenia’s national environmental commitments and SDG agenda.</w:t>
      </w:r>
    </w:p>
    <w:p w14:paraId="77623804" w14:textId="23DBF223"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National and international frameworks for environmental regulation and public health protection, including Armenian legislation and WHO/EU guidance.</w:t>
      </w:r>
    </w:p>
    <w:p w14:paraId="0E0BF136" w14:textId="61F23D46"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One Health: interdisciplinary approaches to zoonoses, antimicrobial resistance, and environmental degradation in Armenia.</w:t>
      </w:r>
    </w:p>
    <w:p w14:paraId="7B314C8D" w14:textId="25ED1F6C" w:rsidR="00E24C9E" w:rsidRPr="00076CF7" w:rsidRDefault="00E24C9E" w:rsidP="00076CF7">
      <w:pPr>
        <w:pStyle w:val="ListParagraph"/>
        <w:numPr>
          <w:ilvl w:val="0"/>
          <w:numId w:val="95"/>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Planetary health and sustainable development: ecological boundaries, biodiversity, and long-term strategies for public health in the Armenian context.</w:t>
      </w:r>
    </w:p>
    <w:p w14:paraId="2D52B64F" w14:textId="77777777" w:rsidR="00E24C9E" w:rsidRPr="00E24C9E" w:rsidRDefault="00E24C9E" w:rsidP="00E24C9E">
      <w:pPr>
        <w:spacing w:after="0"/>
        <w:jc w:val="both"/>
        <w:rPr>
          <w:rFonts w:ascii="Sylfaen" w:eastAsia="Calibri" w:hAnsi="Sylfaen" w:cs="Times New Roman"/>
          <w:kern w:val="2"/>
          <w:lang w:val="en-US" w:eastAsia="en-US"/>
        </w:rPr>
      </w:pPr>
    </w:p>
    <w:p w14:paraId="5928BC8E" w14:textId="20135C9D" w:rsidR="00E24C9E" w:rsidRPr="00E24C9E" w:rsidRDefault="00E24C9E" w:rsidP="00E24C9E">
      <w:pPr>
        <w:spacing w:after="0"/>
        <w:jc w:val="both"/>
        <w:rPr>
          <w:rFonts w:ascii="Sylfaen" w:eastAsia="Calibri" w:hAnsi="Sylfaen" w:cs="Times New Roman"/>
          <w:kern w:val="2"/>
          <w:lang w:val="en-US" w:eastAsia="en-US"/>
        </w:rPr>
      </w:pPr>
      <w:r w:rsidRPr="00400F7F">
        <w:rPr>
          <w:rFonts w:ascii="Sylfaen" w:eastAsia="Calibri" w:hAnsi="Sylfaen" w:cs="Times New Roman"/>
          <w:b/>
          <w:bCs/>
          <w:i/>
          <w:iCs/>
          <w:kern w:val="2"/>
          <w:lang w:val="en-US" w:eastAsia="en-US"/>
        </w:rPr>
        <w:t xml:space="preserve">Reading materials associated with the module. </w:t>
      </w:r>
      <w:r w:rsidRPr="00E24C9E">
        <w:rPr>
          <w:rFonts w:ascii="Sylfaen" w:eastAsia="Calibri" w:hAnsi="Sylfaen" w:cs="Times New Roman"/>
          <w:kern w:val="2"/>
          <w:lang w:val="en-US" w:eastAsia="en-US"/>
        </w:rPr>
        <w:t>Note: Course is taught in Armenian. The following international sources are used by faculty to prepare Armenian-language content. Armenian sources are listed with translated titles.</w:t>
      </w:r>
    </w:p>
    <w:p w14:paraId="604D5377"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Frumkin, H. (Ed.). Environmental Health: From Global to Local (3rd ed.). Jossey-Bass, 2016.</w:t>
      </w:r>
    </w:p>
    <w:p w14:paraId="25348ACE"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Frumkin, H. (Ed.) (2021). Planetary Health: Protecting Nature to Protect Ourselves. Island Press.</w:t>
      </w:r>
    </w:p>
    <w:p w14:paraId="42539742" w14:textId="405D7081"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Levy, B.S., Wegman, D.H., Baron, S.L., &amp; </w:t>
      </w:r>
      <w:proofErr w:type="spellStart"/>
      <w:r w:rsidRPr="00E24C9E">
        <w:rPr>
          <w:rFonts w:ascii="Sylfaen" w:eastAsia="Calibri" w:hAnsi="Sylfaen" w:cs="Times New Roman"/>
          <w:kern w:val="2"/>
          <w:lang w:val="en-US" w:eastAsia="en-US"/>
        </w:rPr>
        <w:t>Sokas</w:t>
      </w:r>
      <w:proofErr w:type="spellEnd"/>
      <w:r w:rsidRPr="00E24C9E">
        <w:rPr>
          <w:rFonts w:ascii="Sylfaen" w:eastAsia="Calibri" w:hAnsi="Sylfaen" w:cs="Times New Roman"/>
          <w:kern w:val="2"/>
          <w:lang w:val="en-US" w:eastAsia="en-US"/>
        </w:rPr>
        <w:t>, R.K. (Eds.) (2017). Occupational and Environmental Health: Recognizing and Preventing Disease and Injury, 7th ed., Oxford University Press.</w:t>
      </w:r>
    </w:p>
    <w:p w14:paraId="4354B5B9" w14:textId="3C81937D"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Fanzo, J., Haddad, L., McLaren, R., &amp; Marshall, Q. (2021). Global Food Systems, Diets, and Nutrition. Springer.</w:t>
      </w:r>
    </w:p>
    <w:p w14:paraId="6EF536B9" w14:textId="007C81CC"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Avetisyan,</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L.</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R. (Ed.). (2022). Hygiene and Ecology: Handbook. Yerevan: Yerevan State Medical University. ISBN</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978 9939 0 3926 8. 335</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pp. (in Armenian)</w:t>
      </w:r>
    </w:p>
    <w:p w14:paraId="71061F77" w14:textId="3F24C95A"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World Health Organization (WHO) (2018). Health, Environment and Climate Change: Road Map for an Enhanced Global Response.</w:t>
      </w:r>
      <w:r>
        <w:rPr>
          <w:rFonts w:ascii="Sylfaen" w:eastAsia="Calibri" w:hAnsi="Sylfaen" w:cs="Times New Roman"/>
          <w:kern w:val="2"/>
          <w:lang w:val="en-US" w:eastAsia="en-US"/>
        </w:rPr>
        <w:t xml:space="preserve"> </w:t>
      </w:r>
      <w:r w:rsidRPr="00E24C9E">
        <w:rPr>
          <w:rFonts w:ascii="Sylfaen" w:eastAsia="Calibri" w:hAnsi="Sylfaen" w:cs="Times New Roman"/>
          <w:kern w:val="2"/>
          <w:lang w:val="en-US" w:eastAsia="en-US"/>
        </w:rPr>
        <w:t>https://www.who.int/publications/i/item/9789241515672</w:t>
      </w:r>
    </w:p>
    <w:p w14:paraId="69C32CF9"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 xml:space="preserve">World Health Organization (WHO). (2017). Guidelines for Drinking-Water Quality (4th ed., with 1st addendum). Geneva: WHO. https://www.who.int/publications/i/item/9789241549950 </w:t>
      </w:r>
    </w:p>
    <w:p w14:paraId="66778A10"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World Health Organization (WHO). (2021). WHO Global Air Quality Guidelines: Particulate Matter, Ozone, Nitrogen Dioxide, Sulfur Dioxide and Carbon Monoxide. Geneva: WHO. https://iris.who.int/bitstream/handle/10665/345329/9789240034228-eng.pdf </w:t>
      </w:r>
    </w:p>
    <w:p w14:paraId="33979D97" w14:textId="4D8C4769"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the Republic of Armenia (2022). National Health Strategy 2022–2026 and Health System Performance Assessment (HSPA) reports. (in Armenian)</w:t>
      </w:r>
      <w:r>
        <w:rPr>
          <w:rFonts w:ascii="Sylfaen" w:eastAsia="Calibri" w:hAnsi="Sylfaen" w:cs="Times New Roman"/>
          <w:kern w:val="2"/>
          <w:lang w:val="en-US" w:eastAsia="en-US"/>
        </w:rPr>
        <w:t xml:space="preserve"> </w:t>
      </w:r>
      <w:r w:rsidRPr="00E24C9E">
        <w:rPr>
          <w:rFonts w:ascii="Sylfaen" w:eastAsia="Calibri" w:hAnsi="Sylfaen" w:cs="Times New Roman"/>
          <w:kern w:val="2"/>
          <w:lang w:val="en-US" w:eastAsia="en-US"/>
        </w:rPr>
        <w:t>https://www.moh.am</w:t>
      </w:r>
    </w:p>
    <w:p w14:paraId="4E98BB28"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Ministry of Environment of Armenia (2021). Nationally Determined Contributions (NDCs) – Armenia 2021 Update. (in Armenian) https://climatechange.gov.am/en </w:t>
      </w:r>
    </w:p>
    <w:p w14:paraId="38F7C4F4" w14:textId="77777777"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National Institute of Health (NIH). Annual Public Health Bulletins and Environmental Health Reports. (in Armenian) https://nih.am</w:t>
      </w:r>
    </w:p>
    <w:p w14:paraId="1EB1BDAE" w14:textId="1401400C" w:rsidR="00E24C9E" w:rsidRPr="00E24C9E" w:rsidRDefault="00E24C9E" w:rsidP="00E24C9E">
      <w:pPr>
        <w:pStyle w:val="ListParagraph"/>
        <w:numPr>
          <w:ilvl w:val="0"/>
          <w:numId w:val="43"/>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UNDP Armenia (2020). Climate Risk Country Profile – Armenia.</w:t>
      </w:r>
      <w:r>
        <w:rPr>
          <w:rFonts w:ascii="Sylfaen" w:eastAsia="Calibri" w:hAnsi="Sylfaen" w:cs="Times New Roman"/>
          <w:kern w:val="2"/>
          <w:lang w:val="en-US" w:eastAsia="en-US"/>
        </w:rPr>
        <w:t xml:space="preserve"> </w:t>
      </w:r>
      <w:r w:rsidRPr="00E24C9E">
        <w:rPr>
          <w:rFonts w:ascii="Sylfaen" w:eastAsia="Calibri" w:hAnsi="Sylfaen" w:cs="Times New Roman"/>
          <w:kern w:val="2"/>
          <w:lang w:val="en-US" w:eastAsia="en-US"/>
        </w:rPr>
        <w:t>https://climateknowledgeportal.worldbank.org/country/armenia</w:t>
      </w:r>
    </w:p>
    <w:p w14:paraId="5CE3A6A5" w14:textId="77777777" w:rsidR="00E24C9E" w:rsidRDefault="00E24C9E" w:rsidP="00E24C9E">
      <w:pPr>
        <w:spacing w:after="0"/>
        <w:jc w:val="both"/>
        <w:rPr>
          <w:rFonts w:ascii="Sylfaen" w:eastAsia="Calibri" w:hAnsi="Sylfaen" w:cs="Times New Roman"/>
          <w:b/>
          <w:bCs/>
          <w:kern w:val="2"/>
          <w:lang w:val="en-US" w:eastAsia="en-US"/>
        </w:rPr>
      </w:pPr>
    </w:p>
    <w:p w14:paraId="0B1EEDD0" w14:textId="7A424F28"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b/>
          <w:bCs/>
          <w:kern w:val="2"/>
          <w:lang w:val="en-US" w:eastAsia="en-US"/>
        </w:rPr>
        <w:t>Assessments used</w:t>
      </w:r>
    </w:p>
    <w:p w14:paraId="3C960321"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The summative assessment for this module consists of two components:</w:t>
      </w:r>
    </w:p>
    <w:p w14:paraId="6202D62A"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Component A: Paper-based test (60% weighting)</w:t>
      </w:r>
    </w:p>
    <w:p w14:paraId="21DEE68C"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Component B: 2,500-word written assignment (40% weighting)</w:t>
      </w:r>
    </w:p>
    <w:p w14:paraId="7F3F41CD"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A structured paper-based exam with 50 close-ended questions, including multiple-choice, true/false, and single-best-answer items. The test evaluates students’ comprehension of key concepts such as environmental risk factors, One Health interactions, climate-related disease pathways, policy frameworks, and monitoring mechanisms. To pass this component, students must score at least 50% correct answers.</w:t>
      </w:r>
    </w:p>
    <w:p w14:paraId="38CC5779"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Written Assignment</w:t>
      </w:r>
    </w:p>
    <w:p w14:paraId="12449C7E"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Students select a current environmental health issue (e.g., air quality degradation, occupational hazard in mining, climate-related heat stress, or water pollution) and critically assess its health impacts, risk factors, and affected populations. The assignment must incorporate systems thinking, environmental justice, and sustainability principles, and propose evidence-informed policy or intervention strategies relevant to Armenia or comparable settings.</w:t>
      </w:r>
    </w:p>
    <w:p w14:paraId="6D3457F3"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This dual assessment format ensures students demonstrate both core knowledge and the ability to apply interdisciplinary environmental health frameworks to complex, real-world challenges.</w:t>
      </w:r>
    </w:p>
    <w:p w14:paraId="01408BBF" w14:textId="0C1EFEBD" w:rsidR="001A3C5B" w:rsidRPr="00916805"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Formative assessment is delivered through scenario-based class discussions, peer review of assignment drafts, and instructor-guided policy simulations. Students receive support in refining their topic, linking their analysis to climate or planetary health frameworks, and using appropriate policy and surveillance data in their arguments.</w:t>
      </w:r>
    </w:p>
    <w:p w14:paraId="65648D89" w14:textId="77777777" w:rsidR="00E24C9E" w:rsidRDefault="00E24C9E" w:rsidP="001C1482">
      <w:pPr>
        <w:spacing w:after="0"/>
        <w:rPr>
          <w:rFonts w:ascii="Sylfaen" w:eastAsia="Calibri" w:hAnsi="Sylfaen" w:cs="Times New Roman"/>
          <w:b/>
          <w:bCs/>
          <w:i/>
          <w:iCs/>
          <w:color w:val="4F81BD" w:themeColor="accent1"/>
          <w:kern w:val="2"/>
          <w:u w:val="single"/>
          <w:lang w:val="en-US" w:eastAsia="en-US"/>
        </w:rPr>
      </w:pPr>
    </w:p>
    <w:p w14:paraId="243DBD2F" w14:textId="247CDE30" w:rsidR="001A3C5B" w:rsidRPr="00916805" w:rsidRDefault="00B32D8D" w:rsidP="001C1482">
      <w:pPr>
        <w:spacing w:after="0"/>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t>Healthcare</w:t>
      </w:r>
      <w:r w:rsidR="001A3C5B" w:rsidRPr="00916805">
        <w:rPr>
          <w:rFonts w:ascii="Sylfaen" w:eastAsia="Calibri" w:hAnsi="Sylfaen" w:cs="Times New Roman"/>
          <w:b/>
          <w:bCs/>
          <w:i/>
          <w:iCs/>
          <w:color w:val="4F81BD" w:themeColor="accent1"/>
          <w:kern w:val="2"/>
          <w:u w:val="single"/>
          <w:lang w:val="en-US" w:eastAsia="en-US"/>
        </w:rPr>
        <w:t xml:space="preserve"> Management </w:t>
      </w:r>
      <w:r w:rsidR="00E63A5D" w:rsidRPr="00E63A5D">
        <w:rPr>
          <w:rFonts w:ascii="Sylfaen" w:eastAsia="Calibri" w:hAnsi="Sylfaen" w:cs="Times New Roman"/>
          <w:b/>
          <w:bCs/>
          <w:i/>
          <w:iCs/>
          <w:color w:val="4F81BD" w:themeColor="accent1"/>
          <w:kern w:val="2"/>
          <w:u w:val="single"/>
          <w:lang w:val="en-US" w:eastAsia="en-US"/>
        </w:rPr>
        <w:t>(3 credits)</w:t>
      </w:r>
    </w:p>
    <w:p w14:paraId="4C82AFA2" w14:textId="77777777" w:rsidR="00B32D8D" w:rsidRDefault="00B32D8D" w:rsidP="002133F8">
      <w:pPr>
        <w:spacing w:after="0"/>
        <w:jc w:val="both"/>
        <w:rPr>
          <w:rFonts w:ascii="Sylfaen" w:eastAsia="Calibri" w:hAnsi="Sylfaen" w:cs="Times New Roman"/>
          <w:kern w:val="2"/>
          <w:lang w:val="en-US" w:eastAsia="en-US"/>
        </w:rPr>
      </w:pPr>
      <w:r w:rsidRPr="00B32D8D">
        <w:rPr>
          <w:rFonts w:ascii="Sylfaen" w:eastAsia="Calibri" w:hAnsi="Sylfaen" w:cs="Times New Roman"/>
          <w:kern w:val="2"/>
          <w:lang w:val="en-US" w:eastAsia="en-US"/>
        </w:rPr>
        <w:t xml:space="preserve">This module provides students with a comprehensive understanding of healthcare management principles and their application within complex and evolving health systems. It covers organizational behavior, governance, leadership, and operational management, with an emphasis on improving performance and service delivery in healthcare institutions. Students develop skills in strategic planning, change management, and workflow analysis, as well as in coordinating interdepartmental operations during emergencies. Ethical, legal, and accountability considerations are integrated throughout, with case studies drawn from Armenian and international contexts to illustrate practical challenges and solutions. By the end of the module, students </w:t>
      </w:r>
      <w:r w:rsidRPr="00B32D8D">
        <w:rPr>
          <w:rFonts w:ascii="Sylfaen" w:eastAsia="Calibri" w:hAnsi="Sylfaen" w:cs="Times New Roman"/>
          <w:kern w:val="2"/>
          <w:lang w:val="en-US" w:eastAsia="en-US"/>
        </w:rPr>
        <w:lastRenderedPageBreak/>
        <w:t>will be equipped to manage healthcare organizations effectively, promote innovation, and strengthen system resilience.</w:t>
      </w:r>
    </w:p>
    <w:p w14:paraId="3D1B7CAC" w14:textId="6B1D7D8D"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Learning competences / objectives</w:t>
      </w:r>
      <w:r w:rsidRPr="00E24C9E">
        <w:rPr>
          <w:rFonts w:ascii="Sylfaen" w:eastAsia="Calibri" w:hAnsi="Sylfaen" w:cs="Times New Roman"/>
          <w:kern w:val="2"/>
          <w:lang w:val="en-US" w:eastAsia="en-US"/>
        </w:rPr>
        <w:t xml:space="preserve"> </w:t>
      </w:r>
    </w:p>
    <w:p w14:paraId="628AA38E" w14:textId="4BB25BEF"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healthcare management principles, including organizational behavior, leadership, and governance in health systems.</w:t>
      </w:r>
    </w:p>
    <w:p w14:paraId="7BB16CF4" w14:textId="63A1943D"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the ability to apply management tools and approaches to improve operational performance and service delivery in healthcare organizations.</w:t>
      </w:r>
    </w:p>
    <w:p w14:paraId="60ADBBD5" w14:textId="5244962B"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competence in analyzing healthcare institutions and workflows to identify inefficiencies and propose evidence-informed solutions.</w:t>
      </w:r>
    </w:p>
    <w:p w14:paraId="040BC980" w14:textId="7E2ACF28"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the ability to manage change and innovation within healthcare organizations, incorporating strategic thinking, communication, and team leadership.</w:t>
      </w:r>
    </w:p>
    <w:p w14:paraId="533DF549" w14:textId="74C42A67"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the ability to coordinate health facility operations and interdepartmental workflows during emergencies, applying principles of preparedness, surge capacity planning, and continuity of care.</w:t>
      </w:r>
    </w:p>
    <w:p w14:paraId="0AF7DDCB" w14:textId="5DD887E0" w:rsidR="00E24C9E" w:rsidRPr="00076CF7" w:rsidRDefault="00E24C9E" w:rsidP="00076CF7">
      <w:pPr>
        <w:pStyle w:val="ListParagraph"/>
        <w:numPr>
          <w:ilvl w:val="0"/>
          <w:numId w:val="97"/>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awareness of ethical, legal, and accountability dimensions of healthcare management in both public and private sector settings, including decentralized and transitional systems.</w:t>
      </w:r>
    </w:p>
    <w:p w14:paraId="62047A47" w14:textId="77777777" w:rsidR="00E24C9E" w:rsidRPr="00E24C9E" w:rsidRDefault="00E24C9E" w:rsidP="00E24C9E">
      <w:pPr>
        <w:spacing w:after="0"/>
        <w:rPr>
          <w:rFonts w:ascii="Sylfaen" w:eastAsia="Calibri" w:hAnsi="Sylfaen" w:cs="Times New Roman"/>
          <w:kern w:val="2"/>
          <w:lang w:val="en-US" w:eastAsia="en-US"/>
        </w:rPr>
      </w:pPr>
    </w:p>
    <w:p w14:paraId="60D3E536" w14:textId="20509F35"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Syllabus content</w:t>
      </w:r>
    </w:p>
    <w:p w14:paraId="3C0D2647" w14:textId="3F7E2143"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Theories and principles of healthcare management: organizational structures, governance models, and management functions.</w:t>
      </w:r>
    </w:p>
    <w:p w14:paraId="5F824D94" w14:textId="44FCFF70"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Leadership in healthcare: leadership styles, team coordination, communication strategies, and crisis leadership.</w:t>
      </w:r>
    </w:p>
    <w:p w14:paraId="24E7142A" w14:textId="4F08B3A0"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Operational management: workflow design, service delivery coordination, scheduling, logistics, and process improvement methods.</w:t>
      </w:r>
    </w:p>
    <w:p w14:paraId="4FFD4A3A" w14:textId="0D3F7463"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Strategic management and change: visioning, goal-setting, organizational culture, and managing resistance to change.</w:t>
      </w:r>
    </w:p>
    <w:p w14:paraId="43156B09" w14:textId="5240E9BC"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Health system performance and quality: assessment of efficiency, responsiveness, and patient outcomes.</w:t>
      </w:r>
    </w:p>
    <w:p w14:paraId="27B81B8D" w14:textId="46DD6F59"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Accountability and legal responsibilities in healthcare management: ethics, regulation, and professional conduct.</w:t>
      </w:r>
    </w:p>
    <w:p w14:paraId="5D05BD8C" w14:textId="6B3B6C61"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Emergency coordination and healthcare system resilience: managing hospital services during outbreaks, disasters, and supply chain disruptions, with lessons from Armenian health system responses.</w:t>
      </w:r>
    </w:p>
    <w:p w14:paraId="40458F15" w14:textId="066B91EC" w:rsidR="00E24C9E" w:rsidRPr="00076CF7" w:rsidRDefault="00E24C9E" w:rsidP="00076CF7">
      <w:pPr>
        <w:pStyle w:val="ListParagraph"/>
        <w:numPr>
          <w:ilvl w:val="0"/>
          <w:numId w:val="99"/>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Case studies of healthcare management challenges in Armenian and international health systems.</w:t>
      </w:r>
    </w:p>
    <w:p w14:paraId="478EEFB2" w14:textId="77777777" w:rsidR="00E24C9E" w:rsidRPr="00E24C9E" w:rsidRDefault="00E24C9E" w:rsidP="00E24C9E">
      <w:pPr>
        <w:spacing w:after="0"/>
        <w:rPr>
          <w:rFonts w:ascii="Sylfaen" w:eastAsia="Calibri" w:hAnsi="Sylfaen" w:cs="Times New Roman"/>
          <w:kern w:val="2"/>
          <w:lang w:val="en-US" w:eastAsia="en-US"/>
        </w:rPr>
      </w:pPr>
    </w:p>
    <w:p w14:paraId="518E5C0D" w14:textId="0AC3DF2C"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 xml:space="preserve">Reading materials associated with the module. </w:t>
      </w:r>
      <w:r w:rsidRPr="00E24C9E">
        <w:rPr>
          <w:rFonts w:ascii="Sylfaen" w:eastAsia="Calibri" w:hAnsi="Sylfaen" w:cs="Times New Roman"/>
          <w:kern w:val="2"/>
          <w:lang w:val="en-US" w:eastAsia="en-US"/>
        </w:rPr>
        <w:t>Note: Course is taught in Armenian. The following international sources are used by faculty to prepare Armenian-language content. Armenian sources are listed with translated titles.</w:t>
      </w:r>
    </w:p>
    <w:p w14:paraId="68462070"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Longest, B.B. &amp; Darr, K. 2014, Managing Health Services Organizations and Systems, 6th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Health Professions Press.</w:t>
      </w:r>
    </w:p>
    <w:p w14:paraId="658AE28F"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Swayne, L.E., Duncan, W.J., &amp; Ginter, P.M. 2012, Strategic Management of Health Care Organizations, 7th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Wiley.</w:t>
      </w:r>
    </w:p>
    <w:p w14:paraId="70391B18"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Richardson, E. (2013). Armenia: Health System Review. Health Systems in Transition, 15(4). https://researchonline.lshtm.ac.uk/id/eprint/1462922/2/HiT-Armenia.pdf </w:t>
      </w:r>
    </w:p>
    <w:p w14:paraId="4D456BD4"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World Health Organization Regional Office for Europe. (2020). Assessing governance for health and well-being: Technical paper. Copenhagen: WHO Regional Office for Europe. https://cdn.who.int/media/docs/librariesprovider2/euro-health-topics/governance/governance-for-health-and-well-being-technical-paper.pdf</w:t>
      </w:r>
    </w:p>
    <w:p w14:paraId="5BF219BC"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the Republic of Armenia. (2021). Health Sector Development Strategy 2021–2026. https://moh.am</w:t>
      </w:r>
    </w:p>
    <w:p w14:paraId="280575BF"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the Republic of Armenia (2022). Healthcare System Performance Assessment: Armenia National Report. Yerevan. https://moh.am</w:t>
      </w:r>
    </w:p>
    <w:p w14:paraId="5C50FC93"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National Institute of Health, Armenia. (Annual). Health and Healthcare: Statistical Yearbook of Armenia. https://nih.am/am</w:t>
      </w:r>
    </w:p>
    <w:p w14:paraId="6E3CB005"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proofErr w:type="spellStart"/>
      <w:r w:rsidRPr="00E24C9E">
        <w:rPr>
          <w:rFonts w:ascii="Sylfaen" w:eastAsia="Calibri" w:hAnsi="Sylfaen" w:cs="Times New Roman"/>
          <w:kern w:val="2"/>
          <w:lang w:val="en-US" w:eastAsia="en-US"/>
        </w:rPr>
        <w:t>Melkomian</w:t>
      </w:r>
      <w:proofErr w:type="spellEnd"/>
      <w:r w:rsidRPr="00E24C9E">
        <w:rPr>
          <w:rFonts w:ascii="Sylfaen" w:eastAsia="Calibri" w:hAnsi="Sylfaen" w:cs="Times New Roman"/>
          <w:kern w:val="2"/>
          <w:lang w:val="en-US" w:eastAsia="en-US"/>
        </w:rPr>
        <w:t xml:space="preserve">, D. et al. (2017). National scale-up of results-based financing in primary health care: The case of Armenia. Health Systems &amp; Reform, 3(2), 130–140. https://pubmed.ncbi.nlm.nih.gov/31514673/ </w:t>
      </w:r>
    </w:p>
    <w:p w14:paraId="235C5600" w14:textId="77777777" w:rsidR="00E24C9E" w:rsidRPr="00E24C9E" w:rsidRDefault="00E24C9E" w:rsidP="00E24C9E">
      <w:pPr>
        <w:pStyle w:val="ListParagraph"/>
        <w:numPr>
          <w:ilvl w:val="0"/>
          <w:numId w:val="44"/>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Armenia (2022). COVID-19 Health System Response and Emergency Coordination Report. https://moh.am</w:t>
      </w:r>
    </w:p>
    <w:p w14:paraId="7DFAE7D7" w14:textId="77777777" w:rsidR="00400F7F" w:rsidRDefault="00400F7F" w:rsidP="00E24C9E">
      <w:pPr>
        <w:spacing w:after="0"/>
        <w:rPr>
          <w:rFonts w:ascii="Sylfaen" w:eastAsia="Calibri" w:hAnsi="Sylfaen" w:cs="Times New Roman"/>
          <w:b/>
          <w:bCs/>
          <w:kern w:val="2"/>
          <w:lang w:val="en-US" w:eastAsia="en-US"/>
        </w:rPr>
      </w:pPr>
    </w:p>
    <w:p w14:paraId="12DFCDF4" w14:textId="58EFAE34" w:rsidR="00E24C9E" w:rsidRPr="00E24C9E" w:rsidRDefault="00E24C9E" w:rsidP="00E24C9E">
      <w:pPr>
        <w:spacing w:after="0"/>
        <w:rPr>
          <w:rFonts w:ascii="Sylfaen" w:eastAsia="Calibri" w:hAnsi="Sylfaen" w:cs="Times New Roman"/>
          <w:b/>
          <w:bCs/>
          <w:kern w:val="2"/>
          <w:lang w:val="en-US" w:eastAsia="en-US"/>
        </w:rPr>
      </w:pPr>
      <w:r w:rsidRPr="00E24C9E">
        <w:rPr>
          <w:rFonts w:ascii="Sylfaen" w:eastAsia="Calibri" w:hAnsi="Sylfaen" w:cs="Times New Roman"/>
          <w:b/>
          <w:bCs/>
          <w:kern w:val="2"/>
          <w:lang w:val="en-US" w:eastAsia="en-US"/>
        </w:rPr>
        <w:t>Assessments used</w:t>
      </w:r>
    </w:p>
    <w:p w14:paraId="2EECB6AD"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The summative assessment for this module consists of a 50-item structured computer-based test (CBT) designed to evaluate students’ applied knowledge and decision-making skills in healthcare management. The test is structured to assess understanding of core management functions, strategic planning, service delivery coordination, leadership, and organizational performance in real-world health system settings. It includes the following types of questions:</w:t>
      </w:r>
    </w:p>
    <w:p w14:paraId="4A28C4B1" w14:textId="362C05CC" w:rsidR="00E24C9E" w:rsidRPr="00076CF7" w:rsidRDefault="00E24C9E" w:rsidP="00076CF7">
      <w:pPr>
        <w:pStyle w:val="ListParagraph"/>
        <w:numPr>
          <w:ilvl w:val="0"/>
          <w:numId w:val="10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Multiple-choice questions (MCQs) with one correct answer to assess comprehension of key management functions, organizational models, and governance approaches in healthcare;</w:t>
      </w:r>
    </w:p>
    <w:p w14:paraId="190E9CD6" w14:textId="30002552" w:rsidR="00E24C9E" w:rsidRPr="00076CF7" w:rsidRDefault="00E24C9E" w:rsidP="00076CF7">
      <w:pPr>
        <w:pStyle w:val="ListParagraph"/>
        <w:numPr>
          <w:ilvl w:val="0"/>
          <w:numId w:val="10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Single-best-answer questions, where students must identify the most effective management action or decision from among several realistic options in a given scenario (e.g., addressing quality gaps or managing a leadership challenge);</w:t>
      </w:r>
    </w:p>
    <w:p w14:paraId="60A36BBF" w14:textId="7E82F264" w:rsidR="00E24C9E" w:rsidRPr="00076CF7" w:rsidRDefault="00E24C9E" w:rsidP="00076CF7">
      <w:pPr>
        <w:pStyle w:val="ListParagraph"/>
        <w:numPr>
          <w:ilvl w:val="0"/>
          <w:numId w:val="10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Exception-type questions, which require students to select the response that does not align with established healthcare management standards, practices, or ethical frameworks.</w:t>
      </w:r>
    </w:p>
    <w:p w14:paraId="78696C74"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This assessment format provides a comprehensive measure of students’ ability to apply healthcare management tools, analyze organizational challenges, and distinguish between effective and ineffective managerial practices in complex system environments.</w:t>
      </w:r>
    </w:p>
    <w:p w14:paraId="196BDC64" w14:textId="7F7297D2"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Formative assessment includes structured in-class discussions, presentation rehearsals, and peer feedback opportunities to enhance students’ understanding and improve delivery. Students also engage in case-based exercises and scenario simulations that mirror the format and content of the final test, providing opportunities for feedback and iterative learning prior to summative assessment.</w:t>
      </w:r>
    </w:p>
    <w:p w14:paraId="4D2F1511" w14:textId="77777777" w:rsidR="00B32D8D" w:rsidRDefault="00B32D8D" w:rsidP="001C1482">
      <w:pPr>
        <w:spacing w:after="0"/>
        <w:rPr>
          <w:rFonts w:ascii="Sylfaen" w:eastAsia="Calibri" w:hAnsi="Sylfaen" w:cs="Times New Roman"/>
          <w:kern w:val="2"/>
          <w:lang w:val="en-US" w:eastAsia="en-US"/>
        </w:rPr>
      </w:pPr>
    </w:p>
    <w:p w14:paraId="72312B60" w14:textId="766B403B" w:rsidR="001A3C5B" w:rsidRPr="00916805" w:rsidRDefault="001A3C5B" w:rsidP="001C1482">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Biostatistics II </w:t>
      </w:r>
      <w:r w:rsidR="00E63A5D" w:rsidRPr="00E63A5D">
        <w:rPr>
          <w:rFonts w:ascii="Sylfaen" w:eastAsia="Calibri" w:hAnsi="Sylfaen" w:cs="Times New Roman"/>
          <w:b/>
          <w:bCs/>
          <w:i/>
          <w:iCs/>
          <w:color w:val="4F81BD" w:themeColor="accent1"/>
          <w:kern w:val="2"/>
          <w:u w:val="single"/>
          <w:lang w:val="en-US" w:eastAsia="en-US"/>
        </w:rPr>
        <w:t>(3 credits)</w:t>
      </w:r>
    </w:p>
    <w:p w14:paraId="06C71E64" w14:textId="77777777" w:rsidR="00076CF7" w:rsidRDefault="00B32D8D" w:rsidP="00E24C9E">
      <w:pPr>
        <w:spacing w:after="0"/>
        <w:jc w:val="both"/>
        <w:rPr>
          <w:rFonts w:ascii="Sylfaen" w:eastAsia="Calibri" w:hAnsi="Sylfaen" w:cs="Times New Roman"/>
          <w:b/>
          <w:bCs/>
          <w:i/>
          <w:iCs/>
          <w:kern w:val="2"/>
          <w:lang w:val="en-US" w:eastAsia="en-US"/>
        </w:rPr>
      </w:pPr>
      <w:r w:rsidRPr="00B32D8D">
        <w:rPr>
          <w:rFonts w:ascii="Sylfaen" w:eastAsia="Calibri" w:hAnsi="Sylfaen" w:cs="Times New Roman"/>
          <w:kern w:val="2"/>
          <w:lang w:val="en-US" w:eastAsia="en-US"/>
        </w:rPr>
        <w:t xml:space="preserve">This module builds on foundational biostatistical knowledge to develop students’ competence in inferential statistics and applied data analysis for public health research. Students learn to apply bivariate and multivariate methods—including regression, chi-square tests, and ANOVA—to investigate associations and evaluate health outcomes using real or simulated datasets. Emphasis is placed on building, interpreting, and critically assessing statistical models, checking assumptions, and addressing limitations, while using statistical software such as SPSS for data preparation, analysis, and visualization. By the end of the module, students </w:t>
      </w:r>
      <w:r w:rsidRPr="00B32D8D">
        <w:rPr>
          <w:rFonts w:ascii="Sylfaen" w:eastAsia="Calibri" w:hAnsi="Sylfaen" w:cs="Times New Roman"/>
          <w:kern w:val="2"/>
          <w:lang w:val="en-US" w:eastAsia="en-US"/>
        </w:rPr>
        <w:lastRenderedPageBreak/>
        <w:t>will be able to interpret complex statistical outputs and communicate findings effectively to support evidence-informed decision-making and health system evaluation.</w:t>
      </w:r>
      <w:r w:rsidR="001A3C5B" w:rsidRPr="00916805">
        <w:rPr>
          <w:rFonts w:ascii="Sylfaen" w:eastAsia="Calibri" w:hAnsi="Sylfaen" w:cs="Times New Roman"/>
          <w:kern w:val="2"/>
          <w:lang w:val="en-US" w:eastAsia="en-US"/>
        </w:rPr>
        <w:br/>
      </w:r>
    </w:p>
    <w:p w14:paraId="4668C93B" w14:textId="77777777" w:rsidR="00076CF7" w:rsidRDefault="00076CF7" w:rsidP="00E24C9E">
      <w:pPr>
        <w:spacing w:after="0"/>
        <w:jc w:val="both"/>
        <w:rPr>
          <w:rFonts w:ascii="Sylfaen" w:eastAsia="Calibri" w:hAnsi="Sylfaen" w:cs="Times New Roman"/>
          <w:b/>
          <w:bCs/>
          <w:i/>
          <w:iCs/>
          <w:kern w:val="2"/>
          <w:lang w:val="en-US" w:eastAsia="en-US"/>
        </w:rPr>
      </w:pPr>
    </w:p>
    <w:p w14:paraId="4690259A" w14:textId="77777777" w:rsidR="00076CF7" w:rsidRDefault="00076CF7" w:rsidP="00E24C9E">
      <w:pPr>
        <w:spacing w:after="0"/>
        <w:jc w:val="both"/>
        <w:rPr>
          <w:rFonts w:ascii="Sylfaen" w:eastAsia="Calibri" w:hAnsi="Sylfaen" w:cs="Times New Roman"/>
          <w:b/>
          <w:bCs/>
          <w:i/>
          <w:iCs/>
          <w:kern w:val="2"/>
          <w:lang w:val="en-US" w:eastAsia="en-US"/>
        </w:rPr>
      </w:pPr>
    </w:p>
    <w:p w14:paraId="387FA6BB" w14:textId="77777777" w:rsidR="00076CF7" w:rsidRDefault="00076CF7" w:rsidP="00E24C9E">
      <w:pPr>
        <w:spacing w:after="0"/>
        <w:jc w:val="both"/>
        <w:rPr>
          <w:rFonts w:ascii="Sylfaen" w:eastAsia="Calibri" w:hAnsi="Sylfaen" w:cs="Times New Roman"/>
          <w:b/>
          <w:bCs/>
          <w:i/>
          <w:iCs/>
          <w:kern w:val="2"/>
          <w:lang w:val="en-US" w:eastAsia="en-US"/>
        </w:rPr>
      </w:pPr>
    </w:p>
    <w:p w14:paraId="69F72E69" w14:textId="22FF557F"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Learning competences / objectives</w:t>
      </w:r>
      <w:r w:rsidRPr="00E24C9E">
        <w:rPr>
          <w:rFonts w:ascii="Sylfaen" w:eastAsia="Calibri" w:hAnsi="Sylfaen" w:cs="Times New Roman"/>
          <w:kern w:val="2"/>
          <w:lang w:val="en-US" w:eastAsia="en-US"/>
        </w:rPr>
        <w:t xml:space="preserve"> </w:t>
      </w:r>
    </w:p>
    <w:p w14:paraId="4ABC532D" w14:textId="48BD80EB"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inferential statistical principles, including sampling distributions, confidence intervals, and the logic of hypothesis testing in health research.</w:t>
      </w:r>
    </w:p>
    <w:p w14:paraId="35CFC7CE" w14:textId="49CB9371"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bivariate and multivariate statistical methods (e.g., linear regression, logistic regression, chi-square tests, ANOVA) to investigate associations and evaluate health outcomes using real or simulated data.</w:t>
      </w:r>
    </w:p>
    <w:p w14:paraId="7F30F73C" w14:textId="162CEF3F"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Build, interpret, and critically assess statistical models to inform the evaluation of public health interventions and health system performance.</w:t>
      </w:r>
    </w:p>
    <w:p w14:paraId="1489AAFE" w14:textId="06849A37"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Conduct diagnostic checks for statistical assumptions, and address model limitations and potential misinterpretation in health datasets.</w:t>
      </w:r>
    </w:p>
    <w:p w14:paraId="00717EDC" w14:textId="24ED2E8B"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Use statistical software tools (e.g., SPSS) for dataset preparation, coding, regression analysis, and visualization of statistical results.</w:t>
      </w:r>
    </w:p>
    <w:p w14:paraId="1D1C7453" w14:textId="2091F0F2" w:rsidR="00E24C9E" w:rsidRPr="00076CF7" w:rsidRDefault="00E24C9E" w:rsidP="00076CF7">
      <w:pPr>
        <w:pStyle w:val="ListParagraph"/>
        <w:numPr>
          <w:ilvl w:val="0"/>
          <w:numId w:val="104"/>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Interpret and communicate complex statistical outputs, including odds ratios, p-values, confidence intervals, and survival analysis findings, in support of evidence-informed public health decision-making.</w:t>
      </w:r>
    </w:p>
    <w:p w14:paraId="67A742AF" w14:textId="77777777" w:rsidR="00E24C9E" w:rsidRPr="00E24C9E" w:rsidRDefault="00E24C9E" w:rsidP="00E24C9E">
      <w:pPr>
        <w:spacing w:after="0"/>
        <w:jc w:val="both"/>
        <w:rPr>
          <w:rFonts w:ascii="Sylfaen" w:eastAsia="Calibri" w:hAnsi="Sylfaen" w:cs="Times New Roman"/>
          <w:kern w:val="2"/>
          <w:lang w:val="en-US" w:eastAsia="en-US"/>
        </w:rPr>
      </w:pPr>
    </w:p>
    <w:p w14:paraId="16B61133" w14:textId="17E35949" w:rsidR="00E24C9E" w:rsidRPr="00E24C9E" w:rsidRDefault="00E24C9E" w:rsidP="00E24C9E">
      <w:pPr>
        <w:spacing w:after="0"/>
        <w:jc w:val="both"/>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Syllabus content</w:t>
      </w:r>
    </w:p>
    <w:p w14:paraId="61BE969C" w14:textId="6A5CBF91"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Principles of inferential statistics: population vs. sample, sampling distributions, standard error, confidence intervals, and hypothesis testing in public health research.</w:t>
      </w:r>
    </w:p>
    <w:p w14:paraId="67A4CAA4" w14:textId="48585E13"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Bivariate and multivariate statistical methods: correlation, linear regression, logistic regression; interpretation of coefficients and model fit.</w:t>
      </w:r>
    </w:p>
    <w:p w14:paraId="37FEEBF7" w14:textId="41DEFAF1"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Categorical data analysis: chi-square tests, contingency tables, and odds ratios for evaluating associations in epidemiological studies.</w:t>
      </w:r>
    </w:p>
    <w:p w14:paraId="49AF3C45" w14:textId="1DF3DBDA"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Analysis of variance (ANOVA): comparing means across groups, interpretation of F-statistics, and applications in health program evaluation.</w:t>
      </w:r>
    </w:p>
    <w:p w14:paraId="62A7FF3A" w14:textId="006E3BE2"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Model assumptions and diagnostics: multicollinearity, outliers, goodness-of-fit, and residual analysis.</w:t>
      </w:r>
    </w:p>
    <w:p w14:paraId="61F73DF1" w14:textId="4E3C584F"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Introduction to survival analysis: life tables, Kaplan–Meier curves, and time-to-event outcomes in health system performance monitoring.</w:t>
      </w:r>
    </w:p>
    <w:p w14:paraId="651039A4" w14:textId="10FADAE4"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Application of statistical software (SPSS): dataset management, coding, transformation, regression analysis, and graphical output generation.</w:t>
      </w:r>
    </w:p>
    <w:p w14:paraId="3A80226B" w14:textId="22D8E336" w:rsidR="00E24C9E" w:rsidRPr="00076CF7" w:rsidRDefault="00E24C9E" w:rsidP="00076CF7">
      <w:pPr>
        <w:pStyle w:val="ListParagraph"/>
        <w:numPr>
          <w:ilvl w:val="0"/>
          <w:numId w:val="106"/>
        </w:numPr>
        <w:spacing w:after="0"/>
        <w:jc w:val="both"/>
        <w:rPr>
          <w:rFonts w:ascii="Sylfaen" w:eastAsia="Calibri" w:hAnsi="Sylfaen" w:cs="Times New Roman"/>
          <w:kern w:val="2"/>
          <w:lang w:val="en-US" w:eastAsia="en-US"/>
        </w:rPr>
      </w:pPr>
      <w:r w:rsidRPr="00076CF7">
        <w:rPr>
          <w:rFonts w:ascii="Sylfaen" w:eastAsia="Calibri" w:hAnsi="Sylfaen" w:cs="Times New Roman"/>
          <w:kern w:val="2"/>
          <w:lang w:val="en-US" w:eastAsia="en-US"/>
        </w:rPr>
        <w:t>Interpretation and communication of statistical findings: translating outputs into actionable insights for public health decision-making and policy reports.</w:t>
      </w:r>
    </w:p>
    <w:p w14:paraId="60B5348B" w14:textId="77777777" w:rsidR="00E24C9E" w:rsidRPr="00E24C9E" w:rsidRDefault="00E24C9E" w:rsidP="00E24C9E">
      <w:pPr>
        <w:spacing w:after="0"/>
        <w:jc w:val="both"/>
        <w:rPr>
          <w:rFonts w:ascii="Sylfaen" w:eastAsia="Calibri" w:hAnsi="Sylfaen" w:cs="Times New Roman"/>
          <w:kern w:val="2"/>
          <w:lang w:val="en-US" w:eastAsia="en-US"/>
        </w:rPr>
      </w:pPr>
    </w:p>
    <w:p w14:paraId="22AD91E3" w14:textId="782DE96A"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b/>
          <w:bCs/>
          <w:kern w:val="2"/>
          <w:lang w:val="en-US" w:eastAsia="en-US"/>
        </w:rPr>
        <w:t>Reading materials associated with the module</w:t>
      </w:r>
      <w:r w:rsidRPr="00E24C9E">
        <w:rPr>
          <w:rFonts w:ascii="Sylfaen" w:eastAsia="Calibri" w:hAnsi="Sylfaen" w:cs="Times New Roman"/>
          <w:kern w:val="2"/>
          <w:lang w:val="en-US" w:eastAsia="en-US"/>
        </w:rPr>
        <w:t>. Note: Course is taught in Armenian. The following international sources are used by faculty to prepare Armenian-language content. Armenian sources are listed with translated titles.</w:t>
      </w:r>
    </w:p>
    <w:p w14:paraId="7BA9750D"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Rosner, B. (2015). Fundamentals of Biostatistics, 8th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Cengage Learning.</w:t>
      </w:r>
    </w:p>
    <w:p w14:paraId="23E734A4"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Kleinbaum, D.G., Kupper, L.L., Nizam, A., &amp; Rosenberg, E.S. (2013). Applied Regression Analysis and Other Multivariable Methods, 5th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Cengage Learning.</w:t>
      </w:r>
    </w:p>
    <w:p w14:paraId="33706BD0"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 xml:space="preserve">Hosmer, D.W., </w:t>
      </w:r>
      <w:proofErr w:type="spellStart"/>
      <w:r w:rsidRPr="00E24C9E">
        <w:rPr>
          <w:rFonts w:ascii="Sylfaen" w:eastAsia="Calibri" w:hAnsi="Sylfaen" w:cs="Times New Roman"/>
          <w:kern w:val="2"/>
          <w:lang w:val="en-US" w:eastAsia="en-US"/>
        </w:rPr>
        <w:t>Lemeshow</w:t>
      </w:r>
      <w:proofErr w:type="spellEnd"/>
      <w:r w:rsidRPr="00E24C9E">
        <w:rPr>
          <w:rFonts w:ascii="Sylfaen" w:eastAsia="Calibri" w:hAnsi="Sylfaen" w:cs="Times New Roman"/>
          <w:kern w:val="2"/>
          <w:lang w:val="en-US" w:eastAsia="en-US"/>
        </w:rPr>
        <w:t xml:space="preserve">, S., &amp; Sturdivant, R.X. (2013). Applied Logistic Regression, 3rd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Wiley.</w:t>
      </w:r>
    </w:p>
    <w:p w14:paraId="376EF3DF"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Kirkwood, B.R. &amp; Sterne, J.A.C. (2003). Essential Medical Statistics, 2nd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Wiley-Blackwell.</w:t>
      </w:r>
    </w:p>
    <w:p w14:paraId="1308995B"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Pallant, J. (2020). SPSS Survival Manual: A Step-by-Step Guide to Data Analysis Using IBM SPSS, 7th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McGraw-Hill.</w:t>
      </w:r>
    </w:p>
    <w:p w14:paraId="50EED8A0"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Levine, D.M., Stephan, D.F., &amp; Szabat, K.A. (2021). Statistics for Managers Using Microsoft Excel, 9th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Pearson.</w:t>
      </w:r>
    </w:p>
    <w:p w14:paraId="7B1FEF27"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of the Republic of Armenia (2022). Health System Performance Assessment Reports (HSPA). https://moh.am</w:t>
      </w:r>
    </w:p>
    <w:p w14:paraId="4DD9A9A3" w14:textId="77777777" w:rsidR="00E24C9E"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Statistical Committee of Armenia (Annual). Health and Demographic Statistics Yearbook. https://armstat.am</w:t>
      </w:r>
    </w:p>
    <w:p w14:paraId="6359FE41" w14:textId="69BCFC06" w:rsidR="001A3C5B" w:rsidRPr="00E24C9E" w:rsidRDefault="00E24C9E" w:rsidP="00E24C9E">
      <w:pPr>
        <w:pStyle w:val="ListParagraph"/>
        <w:numPr>
          <w:ilvl w:val="0"/>
          <w:numId w:val="45"/>
        </w:num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Tadevosyan, A.E., Hayrapetyan, A.K., </w:t>
      </w:r>
      <w:proofErr w:type="spellStart"/>
      <w:r w:rsidRPr="00E24C9E">
        <w:rPr>
          <w:rFonts w:ascii="Sylfaen" w:eastAsia="Calibri" w:hAnsi="Sylfaen" w:cs="Times New Roman"/>
          <w:kern w:val="2"/>
          <w:lang w:val="en-US" w:eastAsia="en-US"/>
        </w:rPr>
        <w:t>Sakanyan</w:t>
      </w:r>
      <w:proofErr w:type="spellEnd"/>
      <w:r w:rsidRPr="00E24C9E">
        <w:rPr>
          <w:rFonts w:ascii="Sylfaen" w:eastAsia="Calibri" w:hAnsi="Sylfaen" w:cs="Times New Roman"/>
          <w:kern w:val="2"/>
          <w:lang w:val="en-US" w:eastAsia="en-US"/>
        </w:rPr>
        <w:t>, G.H., Sukiasyan, R.R., 2019, Fundamentals of Biostatistics: A Textbook. Yerevan State Medical University. (in Armenian)</w:t>
      </w:r>
    </w:p>
    <w:p w14:paraId="7F5ECF29" w14:textId="3166C9B4" w:rsidR="00E24C9E" w:rsidRPr="00E24C9E" w:rsidRDefault="00E24C9E" w:rsidP="00E24C9E">
      <w:pPr>
        <w:spacing w:after="0"/>
        <w:jc w:val="both"/>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Assessments used</w:t>
      </w:r>
    </w:p>
    <w:p w14:paraId="733E516D"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The summative assessment for this module consists of a two-stage process:</w:t>
      </w:r>
    </w:p>
    <w:p w14:paraId="38C6B46A"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Step 1 - Paper-based test that evaluates students’ understanding of inferential statistics, regression models, and their application to public health questions. Students first complete a 50-item structured, paper-based test composed exclusively of closed-ended questions (e.g., multiple-choice, true/false, and single-best-answer formats). To proceed to the second assignment, students must first pass the written test by correctly answering more than 50% of the questions.</w:t>
      </w:r>
    </w:p>
    <w:p w14:paraId="3A041D0D" w14:textId="77777777"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Step -2- Computer-based assignment, where students are required to perform a series of 10 advanced data analysis tasks using a provided dataset. The assignment evaluates practical skills in applying regression, ANOVA, and categorical data analysis using statistical software (SPSS). Students must demonstrate analytical reasoning, appropriate model selection, and accurate interpretation of results. </w:t>
      </w:r>
    </w:p>
    <w:p w14:paraId="69DD1E7A" w14:textId="4ADB4DB2" w:rsidR="00E24C9E" w:rsidRPr="00E24C9E" w:rsidRDefault="00E24C9E" w:rsidP="00E24C9E">
      <w:pPr>
        <w:spacing w:after="0"/>
        <w:jc w:val="both"/>
        <w:rPr>
          <w:rFonts w:ascii="Sylfaen" w:eastAsia="Calibri" w:hAnsi="Sylfaen" w:cs="Times New Roman"/>
          <w:kern w:val="2"/>
          <w:lang w:val="en-US" w:eastAsia="en-US"/>
        </w:rPr>
      </w:pPr>
      <w:r w:rsidRPr="00E24C9E">
        <w:rPr>
          <w:rFonts w:ascii="Sylfaen" w:eastAsia="Calibri" w:hAnsi="Sylfaen" w:cs="Times New Roman"/>
          <w:kern w:val="2"/>
          <w:lang w:val="en-US" w:eastAsia="en-US"/>
        </w:rPr>
        <w:t>Formative assessment is embedded throughout the module via weekly practical sessions with instructor feedback. Exercises mirror the format of the summative assessments and help students consolidate statistical reasoning and technical competence.</w:t>
      </w:r>
    </w:p>
    <w:p w14:paraId="04122B75" w14:textId="77777777" w:rsidR="00E24C9E" w:rsidRDefault="00E24C9E" w:rsidP="001C1482">
      <w:pPr>
        <w:spacing w:after="0"/>
        <w:rPr>
          <w:rFonts w:ascii="Sylfaen" w:eastAsia="Calibri" w:hAnsi="Sylfaen" w:cs="Times New Roman"/>
          <w:b/>
          <w:bCs/>
          <w:i/>
          <w:iCs/>
          <w:color w:val="4F81BD" w:themeColor="accent1"/>
          <w:kern w:val="2"/>
          <w:u w:val="single"/>
          <w:lang w:val="en-US" w:eastAsia="en-US"/>
        </w:rPr>
      </w:pPr>
    </w:p>
    <w:p w14:paraId="0E7BF189" w14:textId="4F54D23C" w:rsidR="001A3C5B" w:rsidRPr="00916805" w:rsidRDefault="00832BCE" w:rsidP="001C1482">
      <w:pPr>
        <w:spacing w:after="0"/>
        <w:rPr>
          <w:rFonts w:ascii="Sylfaen" w:eastAsia="Calibri" w:hAnsi="Sylfaen" w:cs="Times New Roman"/>
          <w:b/>
          <w:bCs/>
          <w:i/>
          <w:iCs/>
          <w:color w:val="4F81BD" w:themeColor="accent1"/>
          <w:kern w:val="2"/>
          <w:u w:val="single"/>
          <w:lang w:val="en-US" w:eastAsia="en-US"/>
        </w:rPr>
      </w:pPr>
      <w:r>
        <w:rPr>
          <w:rFonts w:ascii="Sylfaen" w:eastAsia="Calibri" w:hAnsi="Sylfaen" w:cs="Times New Roman"/>
          <w:b/>
          <w:bCs/>
          <w:i/>
          <w:iCs/>
          <w:color w:val="4F81BD" w:themeColor="accent1"/>
          <w:kern w:val="2"/>
          <w:u w:val="single"/>
          <w:lang w:val="en-US" w:eastAsia="en-US"/>
        </w:rPr>
        <w:t>Epidemiology II (Communicable Diseases)</w:t>
      </w:r>
      <w:r w:rsidR="00E63A5D" w:rsidRPr="00E63A5D">
        <w:rPr>
          <w:lang w:val="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0932BFCF" w14:textId="45C11707" w:rsidR="001A3C5B" w:rsidRDefault="00832BCE" w:rsidP="002133F8">
      <w:pPr>
        <w:spacing w:after="0"/>
        <w:jc w:val="both"/>
        <w:rPr>
          <w:rFonts w:ascii="Sylfaen" w:eastAsia="Calibri" w:hAnsi="Sylfaen" w:cs="Times New Roman"/>
          <w:kern w:val="2"/>
          <w:lang w:val="en-US" w:eastAsia="en-US"/>
        </w:rPr>
      </w:pPr>
      <w:r w:rsidRPr="00832BCE">
        <w:rPr>
          <w:rFonts w:ascii="Sylfaen" w:eastAsia="Calibri" w:hAnsi="Sylfaen" w:cs="Times New Roman"/>
          <w:kern w:val="2"/>
          <w:lang w:val="en-US" w:eastAsia="en-US"/>
        </w:rPr>
        <w:t>This module provides students with advanced knowledge and skills in the epidemiology, surveillance, and control of communicable diseases, with applications to both national and global public health contexts. Students learn to analyze surveillance data, investigate outbreaks, and evaluate the effectiveness of prevention and control strategies using evidence-based approaches. The module emphasizes emergency preparedness, intersectoral coordination, and digital risk communication to manage misinformation and enhance public trust. Students also explore the One Health framework, including zoonotic disease epidemiology and antimicrobial resistance, while developing leadership, ethical reasoning, and communication competencies essential for effective outbreak response and public health decision-making.</w:t>
      </w:r>
    </w:p>
    <w:p w14:paraId="5627EB92" w14:textId="43A0516A"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 xml:space="preserve">Learning competences / objectives </w:t>
      </w:r>
    </w:p>
    <w:p w14:paraId="54851515" w14:textId="449AA770"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advanced understanding of communicable disease epidemiology, including surveillance, transmission dynamics (incidence, prevalence, R</w:t>
      </w:r>
      <w:r w:rsidRPr="00076CF7">
        <w:rPr>
          <w:rFonts w:ascii="Times New Roman" w:eastAsia="Calibri" w:hAnsi="Times New Roman" w:cs="Times New Roman"/>
          <w:kern w:val="2"/>
          <w:lang w:val="en-US" w:eastAsia="en-US"/>
        </w:rPr>
        <w:t>₀</w:t>
      </w:r>
      <w:r w:rsidRPr="00076CF7">
        <w:rPr>
          <w:rFonts w:ascii="Sylfaen" w:eastAsia="Calibri" w:hAnsi="Sylfaen" w:cs="Times New Roman"/>
          <w:kern w:val="2"/>
          <w:lang w:val="en-US" w:eastAsia="en-US"/>
        </w:rPr>
        <w:t>, herd immunity), and control strategies such as immunization, isolation, and sanitation.</w:t>
      </w:r>
    </w:p>
    <w:p w14:paraId="1086A6B1" w14:textId="3FAB09A4"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Analyze surveillance data and outbreak scenarios using epidemiological methods and digital tools to support evidence-based public health decisions and emergency responses.</w:t>
      </w:r>
    </w:p>
    <w:p w14:paraId="18B58289" w14:textId="6F6330CE"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lastRenderedPageBreak/>
        <w:t>Evaluate the effectiveness of prevention and control measures within different health system contexts, including national priorities and resource capacities.</w:t>
      </w:r>
    </w:p>
    <w:p w14:paraId="065D7805" w14:textId="28D486B8"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 xml:space="preserve">Apply </w:t>
      </w:r>
      <w:proofErr w:type="spellStart"/>
      <w:r w:rsidRPr="00076CF7">
        <w:rPr>
          <w:rFonts w:ascii="Sylfaen" w:eastAsia="Calibri" w:hAnsi="Sylfaen" w:cs="Times New Roman"/>
          <w:kern w:val="2"/>
          <w:lang w:val="en-US" w:eastAsia="en-US"/>
        </w:rPr>
        <w:t>infodemiology</w:t>
      </w:r>
      <w:proofErr w:type="spellEnd"/>
      <w:r w:rsidRPr="00076CF7">
        <w:rPr>
          <w:rFonts w:ascii="Sylfaen" w:eastAsia="Calibri" w:hAnsi="Sylfaen" w:cs="Times New Roman"/>
          <w:kern w:val="2"/>
          <w:lang w:val="en-US" w:eastAsia="en-US"/>
        </w:rPr>
        <w:t xml:space="preserve"> principles and risk communication strategies to address misinformation and enhance public trust during outbreaks.</w:t>
      </w:r>
    </w:p>
    <w:p w14:paraId="4AD21EC6" w14:textId="3D42A0BA"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Incorporate emergency preparedness and intersectoral coordination into outbreak response planning aligned with international frameworks.</w:t>
      </w:r>
    </w:p>
    <w:p w14:paraId="79F36C4A" w14:textId="1CDF2E75"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understanding of the One Health approach, including the epidemiology of zoonotic diseases, antimicrobial resistance, and the need for intersectoral surveillance and global collaboration (e.g., WHO/FAO/WOAH initiatives).</w:t>
      </w:r>
    </w:p>
    <w:p w14:paraId="0A8E5556" w14:textId="69233C6A" w:rsidR="00E24C9E" w:rsidRPr="00076CF7" w:rsidRDefault="00E24C9E" w:rsidP="00076CF7">
      <w:pPr>
        <w:pStyle w:val="ListParagraph"/>
        <w:numPr>
          <w:ilvl w:val="0"/>
          <w:numId w:val="108"/>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leadership, ethical reasoning, and communication competencies in the planning and management of communicable disease responses.</w:t>
      </w:r>
    </w:p>
    <w:p w14:paraId="116C80DD" w14:textId="77777777" w:rsidR="00E24C9E" w:rsidRPr="00E24C9E" w:rsidRDefault="00E24C9E" w:rsidP="00E24C9E">
      <w:pPr>
        <w:spacing w:after="0"/>
        <w:rPr>
          <w:rFonts w:ascii="Sylfaen" w:eastAsia="Calibri" w:hAnsi="Sylfaen" w:cs="Times New Roman"/>
          <w:kern w:val="2"/>
          <w:lang w:val="en-US" w:eastAsia="en-US"/>
        </w:rPr>
      </w:pPr>
    </w:p>
    <w:p w14:paraId="0A984FBE" w14:textId="2B0B0B6A"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Syllabus content</w:t>
      </w:r>
    </w:p>
    <w:p w14:paraId="1037DB02" w14:textId="51E792C8"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Overview of communicable diseases, transmission dynamics (R</w:t>
      </w:r>
      <w:r w:rsidRPr="00076CF7">
        <w:rPr>
          <w:rFonts w:ascii="Times New Roman" w:eastAsia="Calibri" w:hAnsi="Times New Roman" w:cs="Times New Roman"/>
          <w:kern w:val="2"/>
          <w:lang w:val="en-US" w:eastAsia="en-US"/>
        </w:rPr>
        <w:t>₀</w:t>
      </w:r>
      <w:r w:rsidRPr="00076CF7">
        <w:rPr>
          <w:rFonts w:ascii="Sylfaen" w:eastAsia="Calibri" w:hAnsi="Sylfaen" w:cs="Times New Roman"/>
          <w:kern w:val="2"/>
          <w:lang w:val="en-US" w:eastAsia="en-US"/>
        </w:rPr>
        <w:t>, herd immunity), and their national and global public health impact.</w:t>
      </w:r>
    </w:p>
    <w:p w14:paraId="49D98AEE" w14:textId="63BDA9F5"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Surveillance systems and outbreak investigation methods, including digital tools, electronic reporting, and the role of Armenia’s NCDCP.</w:t>
      </w:r>
    </w:p>
    <w:p w14:paraId="39B3B6EF" w14:textId="445E2AE4"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 xml:space="preserve">Control and prevention strategies: vaccination, isolation, sanitation, and </w:t>
      </w:r>
      <w:proofErr w:type="spellStart"/>
      <w:r w:rsidRPr="00076CF7">
        <w:rPr>
          <w:rFonts w:ascii="Sylfaen" w:eastAsia="Calibri" w:hAnsi="Sylfaen" w:cs="Times New Roman"/>
          <w:kern w:val="2"/>
          <w:lang w:val="en-US" w:eastAsia="en-US"/>
        </w:rPr>
        <w:t>behavioural</w:t>
      </w:r>
      <w:proofErr w:type="spellEnd"/>
      <w:r w:rsidRPr="00076CF7">
        <w:rPr>
          <w:rFonts w:ascii="Sylfaen" w:eastAsia="Calibri" w:hAnsi="Sylfaen" w:cs="Times New Roman"/>
          <w:kern w:val="2"/>
          <w:lang w:val="en-US" w:eastAsia="en-US"/>
        </w:rPr>
        <w:t xml:space="preserve"> interventions, with application to national systems.</w:t>
      </w:r>
    </w:p>
    <w:p w14:paraId="3E7DCCEF" w14:textId="03E19024"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Emergency preparedness and response: IHR, national preparedness plans, and cross-border coordination.</w:t>
      </w:r>
    </w:p>
    <w:p w14:paraId="7B2BCC0E" w14:textId="08FC7CA6"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proofErr w:type="spellStart"/>
      <w:r w:rsidRPr="00076CF7">
        <w:rPr>
          <w:rFonts w:ascii="Sylfaen" w:eastAsia="Calibri" w:hAnsi="Sylfaen" w:cs="Times New Roman"/>
          <w:kern w:val="2"/>
          <w:lang w:val="en-US" w:eastAsia="en-US"/>
        </w:rPr>
        <w:t>Infodemiology</w:t>
      </w:r>
      <w:proofErr w:type="spellEnd"/>
      <w:r w:rsidRPr="00076CF7">
        <w:rPr>
          <w:rFonts w:ascii="Sylfaen" w:eastAsia="Calibri" w:hAnsi="Sylfaen" w:cs="Times New Roman"/>
          <w:kern w:val="2"/>
          <w:lang w:val="en-US" w:eastAsia="en-US"/>
        </w:rPr>
        <w:t xml:space="preserve"> and digital risk communication in managing misinformation and enhancing public engagement.</w:t>
      </w:r>
    </w:p>
    <w:p w14:paraId="5A40301E" w14:textId="6FDBC4B0"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One Health in communicable disease control: epidemiology of zoonotic diseases, antimicrobial resistance (AMR), and intersectoral surveillance, with reference to global collaboration frameworks such as the WHO/FAO/WOAH tripartite initiatives and their application in national policy and preparedness.</w:t>
      </w:r>
    </w:p>
    <w:p w14:paraId="6B82D2A0" w14:textId="7E804C52" w:rsidR="00E24C9E" w:rsidRPr="00076CF7" w:rsidRDefault="00E24C9E" w:rsidP="00076CF7">
      <w:pPr>
        <w:pStyle w:val="ListParagraph"/>
        <w:numPr>
          <w:ilvl w:val="0"/>
          <w:numId w:val="110"/>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Leadership and ethics in outbreak response: prioritization, stakeholder coordination, and public accountability.</w:t>
      </w:r>
    </w:p>
    <w:p w14:paraId="14D73B44" w14:textId="77777777" w:rsidR="00E24C9E" w:rsidRPr="00E24C9E" w:rsidRDefault="00E24C9E" w:rsidP="00E24C9E">
      <w:pPr>
        <w:spacing w:after="0"/>
        <w:rPr>
          <w:rFonts w:ascii="Sylfaen" w:eastAsia="Calibri" w:hAnsi="Sylfaen" w:cs="Times New Roman"/>
          <w:kern w:val="2"/>
          <w:lang w:val="en-US" w:eastAsia="en-US"/>
        </w:rPr>
      </w:pPr>
    </w:p>
    <w:p w14:paraId="20094BFD" w14:textId="5BF5E84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b/>
          <w:bCs/>
          <w:i/>
          <w:iCs/>
          <w:kern w:val="2"/>
          <w:lang w:val="en-US" w:eastAsia="en-US"/>
        </w:rPr>
        <w:t>Reading materials associated with the module</w:t>
      </w:r>
      <w:r w:rsidRPr="00E24C9E">
        <w:rPr>
          <w:rFonts w:ascii="Sylfaen" w:eastAsia="Calibri" w:hAnsi="Sylfaen" w:cs="Times New Roman"/>
          <w:kern w:val="2"/>
          <w:lang w:val="en-US" w:eastAsia="en-US"/>
        </w:rPr>
        <w:t>. Note: Course is taught in Armenian. The following international sources are used by faculty to prepare Armenian-language content. Armenian sources are listed with translated titles.</w:t>
      </w:r>
    </w:p>
    <w:p w14:paraId="7A7A1C7C"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Lash, T.L., VanderWeele, T.J., </w:t>
      </w:r>
      <w:proofErr w:type="spellStart"/>
      <w:r w:rsidRPr="00E24C9E">
        <w:rPr>
          <w:rFonts w:ascii="Sylfaen" w:eastAsia="Calibri" w:hAnsi="Sylfaen" w:cs="Times New Roman"/>
          <w:kern w:val="2"/>
          <w:lang w:val="en-US" w:eastAsia="en-US"/>
        </w:rPr>
        <w:t>Haneuse</w:t>
      </w:r>
      <w:proofErr w:type="spellEnd"/>
      <w:r w:rsidRPr="00E24C9E">
        <w:rPr>
          <w:rFonts w:ascii="Sylfaen" w:eastAsia="Calibri" w:hAnsi="Sylfaen" w:cs="Times New Roman"/>
          <w:kern w:val="2"/>
          <w:lang w:val="en-US" w:eastAsia="en-US"/>
        </w:rPr>
        <w:t xml:space="preserve">, S., &amp; Rothman, K.J. (2020). Modern Epidemiology, 4th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Wolters Kluwer.</w:t>
      </w:r>
    </w:p>
    <w:p w14:paraId="58D7F5D4"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Nelson, K.E. &amp; Williams, C.M. 2014, Infectious Disease Epidemiology: Theory and Practice, 3rd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Jones &amp; Bartlett Learning.</w:t>
      </w:r>
    </w:p>
    <w:p w14:paraId="176F78EA"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Giesecke, J. (2017). Modern Infectious Disease Epidemiology, 3rd </w:t>
      </w:r>
      <w:proofErr w:type="spellStart"/>
      <w:r w:rsidRPr="00E24C9E">
        <w:rPr>
          <w:rFonts w:ascii="Sylfaen" w:eastAsia="Calibri" w:hAnsi="Sylfaen" w:cs="Times New Roman"/>
          <w:kern w:val="2"/>
          <w:lang w:val="en-US" w:eastAsia="en-US"/>
        </w:rPr>
        <w:t>edn</w:t>
      </w:r>
      <w:proofErr w:type="spellEnd"/>
      <w:r w:rsidRPr="00E24C9E">
        <w:rPr>
          <w:rFonts w:ascii="Sylfaen" w:eastAsia="Calibri" w:hAnsi="Sylfaen" w:cs="Times New Roman"/>
          <w:kern w:val="2"/>
          <w:lang w:val="en-US" w:eastAsia="en-US"/>
        </w:rPr>
        <w:t>, CRC Press.</w:t>
      </w:r>
    </w:p>
    <w:p w14:paraId="4C4197A2"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Oren, E. &amp; Brown, H.E. (2022). Infectious Disease Epidemiology: An Introduction, Springer Publishing Company.</w:t>
      </w:r>
    </w:p>
    <w:p w14:paraId="6FC60250"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World Health Organization (WHO). (2008). Outbreak Communication Planning Guide. WHO Press. https://iris.who.int/handle/10665/44014 </w:t>
      </w:r>
    </w:p>
    <w:p w14:paraId="195CB56F"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lastRenderedPageBreak/>
        <w:t xml:space="preserve">WHO/FAO/WOAH Tripartite. (2022). One Health Joint Plan of Action 2022–2026. https://www.who.int/publications/i/item/9789240059139 </w:t>
      </w:r>
    </w:p>
    <w:p w14:paraId="38CAC664"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Republic of Armenia. (2022). National Programme on Prevention and Control of Communicable Diseases, Yerevan. https://moh.am</w:t>
      </w:r>
    </w:p>
    <w:p w14:paraId="1B0F9A87"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Ministry of Health. (Latest) National Immunization Programme and Vaccination Schedule. https://moh.am</w:t>
      </w:r>
    </w:p>
    <w:p w14:paraId="073CD360"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National Center for Disease Control and Prevention (NCDCP). Annual Surveillance Reports (e.g., on hepatitis, measles, TB, influenza). https://nih.am/am</w:t>
      </w:r>
    </w:p>
    <w:p w14:paraId="2E9A5C96" w14:textId="7AB51E6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Rasmussen, S.</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A., &amp; Goodman, R.</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 xml:space="preserve">A. (Eds.). (2019). The CDC Field Epidemiology Manual (1st ed.). Oxford University Press. https://www.cdc.gov/field-epi-manual/php/about/index.html </w:t>
      </w:r>
    </w:p>
    <w:p w14:paraId="62B3FA85"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 xml:space="preserve">World Health Organization (WHO). (2008). Outbreak Communication Planning Guide. WHO Press. https://iris.who.int/handle/10665/44014 </w:t>
      </w:r>
    </w:p>
    <w:p w14:paraId="3B83A010" w14:textId="77777777" w:rsidR="00E24C9E" w:rsidRPr="00E24C9E" w:rsidRDefault="00E24C9E" w:rsidP="00E24C9E">
      <w:pPr>
        <w:pStyle w:val="ListParagraph"/>
        <w:numPr>
          <w:ilvl w:val="0"/>
          <w:numId w:val="46"/>
        </w:num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World Health Organization. (2021, October</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19). An overview of infodemic management during COVID 19, January</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2020</w:t>
      </w:r>
      <w:r w:rsidRPr="00E24C9E">
        <w:rPr>
          <w:rFonts w:ascii="Sylfaen" w:eastAsia="Calibri" w:hAnsi="Sylfaen" w:cs="Sylfaen"/>
          <w:kern w:val="2"/>
          <w:lang w:val="en-US" w:eastAsia="en-US"/>
        </w:rPr>
        <w:t>–</w:t>
      </w:r>
      <w:r w:rsidRPr="00E24C9E">
        <w:rPr>
          <w:rFonts w:ascii="Sylfaen" w:eastAsia="Calibri" w:hAnsi="Sylfaen" w:cs="Times New Roman"/>
          <w:kern w:val="2"/>
          <w:lang w:val="en-US" w:eastAsia="en-US"/>
        </w:rPr>
        <w:t>May</w:t>
      </w:r>
      <w:r w:rsidRPr="00E24C9E">
        <w:rPr>
          <w:rFonts w:ascii="Times New Roman" w:eastAsia="Calibri" w:hAnsi="Times New Roman" w:cs="Times New Roman"/>
          <w:kern w:val="2"/>
          <w:lang w:val="en-US" w:eastAsia="en-US"/>
        </w:rPr>
        <w:t> </w:t>
      </w:r>
      <w:r w:rsidRPr="00E24C9E">
        <w:rPr>
          <w:rFonts w:ascii="Sylfaen" w:eastAsia="Calibri" w:hAnsi="Sylfaen" w:cs="Times New Roman"/>
          <w:kern w:val="2"/>
          <w:lang w:val="en-US" w:eastAsia="en-US"/>
        </w:rPr>
        <w:t xml:space="preserve">2021 (Technical Document, No. 9789240035966). Geneva: WHO. https://www.who.int/publications/i/item/9789240035966 </w:t>
      </w:r>
    </w:p>
    <w:p w14:paraId="373482BD" w14:textId="717223F6" w:rsidR="00E24C9E" w:rsidRPr="00E24C9E" w:rsidRDefault="00E24C9E" w:rsidP="00E24C9E">
      <w:pPr>
        <w:spacing w:after="0"/>
        <w:rPr>
          <w:rFonts w:ascii="Sylfaen" w:eastAsia="Calibri" w:hAnsi="Sylfaen" w:cs="Times New Roman"/>
          <w:b/>
          <w:bCs/>
          <w:i/>
          <w:iCs/>
          <w:kern w:val="2"/>
          <w:lang w:val="en-US" w:eastAsia="en-US"/>
        </w:rPr>
      </w:pPr>
      <w:r w:rsidRPr="00E24C9E">
        <w:rPr>
          <w:rFonts w:ascii="Sylfaen" w:eastAsia="Calibri" w:hAnsi="Sylfaen" w:cs="Times New Roman"/>
          <w:b/>
          <w:bCs/>
          <w:i/>
          <w:iCs/>
          <w:kern w:val="2"/>
          <w:lang w:val="en-US" w:eastAsia="en-US"/>
        </w:rPr>
        <w:t>Assessments used</w:t>
      </w:r>
    </w:p>
    <w:p w14:paraId="74886752"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The summative assessment consists of a computer-based test (CBT) administered at the end of the module. It evaluates students’ applied understanding of communicable disease epidemiology across core thematic areas. The test includes:</w:t>
      </w:r>
    </w:p>
    <w:p w14:paraId="2FF0ACC0" w14:textId="082974F2" w:rsidR="00E24C9E" w:rsidRPr="00076CF7" w:rsidRDefault="00E24C9E" w:rsidP="00076CF7">
      <w:pPr>
        <w:pStyle w:val="ListParagraph"/>
        <w:numPr>
          <w:ilvl w:val="0"/>
          <w:numId w:val="11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Multiple-choice questions (MCQs) assessing knowledge of key concepts, transmission dynamics, surveillance systems, and control strategies.</w:t>
      </w:r>
    </w:p>
    <w:p w14:paraId="3F20143F" w14:textId="394ADC63" w:rsidR="00E24C9E" w:rsidRPr="00076CF7" w:rsidRDefault="00E24C9E" w:rsidP="00076CF7">
      <w:pPr>
        <w:pStyle w:val="ListParagraph"/>
        <w:numPr>
          <w:ilvl w:val="0"/>
          <w:numId w:val="11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Single-best-answer questions (SBAs) requiring the selection of the most appropriate intervention or interpretation based on public health scenarios.</w:t>
      </w:r>
    </w:p>
    <w:p w14:paraId="4CB58E33" w14:textId="7DB420B6" w:rsidR="00E24C9E" w:rsidRPr="00076CF7" w:rsidRDefault="00E24C9E" w:rsidP="00076CF7">
      <w:pPr>
        <w:pStyle w:val="ListParagraph"/>
        <w:numPr>
          <w:ilvl w:val="0"/>
          <w:numId w:val="112"/>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Exception-type questions where students identify the option that does not apply to a given outbreak or control context.</w:t>
      </w:r>
    </w:p>
    <w:p w14:paraId="6C1D2825" w14:textId="77777777"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The test is designed to reflect the breadth of learning outcomes, including analytical reasoning, response planning, and evidence-based decision-making. To successfully complete the module, students must achieve at least 50% correct responses.</w:t>
      </w:r>
    </w:p>
    <w:p w14:paraId="1C8D1AB0" w14:textId="359A09AE" w:rsidR="00E24C9E" w:rsidRPr="00E24C9E" w:rsidRDefault="00E24C9E" w:rsidP="00E24C9E">
      <w:pPr>
        <w:spacing w:after="0"/>
        <w:rPr>
          <w:rFonts w:ascii="Sylfaen" w:eastAsia="Calibri" w:hAnsi="Sylfaen" w:cs="Times New Roman"/>
          <w:kern w:val="2"/>
          <w:lang w:val="en-US" w:eastAsia="en-US"/>
        </w:rPr>
      </w:pPr>
      <w:r w:rsidRPr="00E24C9E">
        <w:rPr>
          <w:rFonts w:ascii="Sylfaen" w:eastAsia="Calibri" w:hAnsi="Sylfaen" w:cs="Times New Roman"/>
          <w:kern w:val="2"/>
          <w:lang w:val="en-US" w:eastAsia="en-US"/>
        </w:rPr>
        <w:t>Formative assessment is embedded throughout the two-week module and delivered through structured classroom activities. These include case analysis, outbreak scenario discussions, interpretation of surveillance data and epidemic curves, and exercises in evaluating disease control options and public health communication approaches. These sessions are designed to support learning progression and prepare students for the summative assessment.</w:t>
      </w:r>
    </w:p>
    <w:p w14:paraId="546EAEC9" w14:textId="77777777" w:rsidR="00E24C9E" w:rsidRDefault="00E24C9E" w:rsidP="001C1482">
      <w:pPr>
        <w:spacing w:after="0"/>
        <w:rPr>
          <w:rFonts w:ascii="Sylfaen" w:eastAsia="Calibri" w:hAnsi="Sylfaen" w:cs="Times New Roman"/>
          <w:b/>
          <w:bCs/>
          <w:i/>
          <w:iCs/>
          <w:color w:val="4F81BD" w:themeColor="accent1"/>
          <w:kern w:val="2"/>
          <w:u w:val="single"/>
          <w:lang w:val="en-US" w:eastAsia="en-US"/>
        </w:rPr>
      </w:pPr>
    </w:p>
    <w:p w14:paraId="16D6EBA7" w14:textId="42DA86B5" w:rsidR="001A3C5B" w:rsidRPr="00916805" w:rsidRDefault="001A3C5B" w:rsidP="001C1482">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Bioethics </w:t>
      </w:r>
      <w:r w:rsidR="00E63A5D" w:rsidRPr="00E63A5D">
        <w:rPr>
          <w:rFonts w:ascii="Sylfaen" w:eastAsia="Calibri" w:hAnsi="Sylfaen" w:cs="Times New Roman"/>
          <w:b/>
          <w:bCs/>
          <w:i/>
          <w:iCs/>
          <w:color w:val="4F81BD" w:themeColor="accent1"/>
          <w:kern w:val="2"/>
          <w:u w:val="single"/>
          <w:lang w:val="en-US" w:eastAsia="en-US"/>
        </w:rPr>
        <w:t>(3 credits)</w:t>
      </w:r>
    </w:p>
    <w:p w14:paraId="1C70D5F7" w14:textId="3EF0EB5E" w:rsidR="008F24E2" w:rsidRPr="008F24E2" w:rsidRDefault="00674EAD" w:rsidP="008F24E2">
      <w:pPr>
        <w:spacing w:after="0"/>
        <w:rPr>
          <w:rFonts w:ascii="Sylfaen" w:eastAsia="Calibri" w:hAnsi="Sylfaen" w:cs="Times New Roman"/>
          <w:kern w:val="2"/>
          <w:lang w:val="en-US" w:eastAsia="en-US"/>
        </w:rPr>
      </w:pPr>
      <w:r w:rsidRPr="00674EAD">
        <w:rPr>
          <w:rFonts w:ascii="Sylfaen" w:eastAsia="Calibri" w:hAnsi="Sylfaen" w:cs="Times New Roman"/>
          <w:kern w:val="2"/>
          <w:lang w:val="en-US" w:eastAsia="en-US"/>
        </w:rPr>
        <w:t xml:space="preserve">This module introduces students to the ethical principles, theories, and normative frameworks guiding public health, clinical practice, and health policy decision-making. Students develop competence in applying structured ethical reasoning to dilemmas in healthcare delivery, public health programming, and biomedical research, with reference to Armenian regulatory and institutional frameworks. The module emphasizes balancing individual rights and population health, addressing issues of equity, justice, and public trust. Students explore ethical, legal, and human rights considerations in the design and evaluation of public health interventions and research involving human participants, guided by both national </w:t>
      </w:r>
      <w:r w:rsidRPr="00674EAD">
        <w:rPr>
          <w:rFonts w:ascii="Sylfaen" w:eastAsia="Calibri" w:hAnsi="Sylfaen" w:cs="Times New Roman"/>
          <w:kern w:val="2"/>
          <w:lang w:val="en-US" w:eastAsia="en-US"/>
        </w:rPr>
        <w:lastRenderedPageBreak/>
        <w:t>standards and international norms.</w:t>
      </w:r>
      <w:r w:rsidR="001A3C5B" w:rsidRPr="00916805">
        <w:rPr>
          <w:rFonts w:ascii="Sylfaen" w:eastAsia="Calibri" w:hAnsi="Sylfaen" w:cs="Times New Roman"/>
          <w:kern w:val="2"/>
          <w:lang w:val="en-US" w:eastAsia="en-US"/>
        </w:rPr>
        <w:br/>
      </w:r>
      <w:r w:rsidR="008F24E2" w:rsidRPr="008F24E2">
        <w:rPr>
          <w:rFonts w:ascii="Sylfaen" w:eastAsia="Calibri" w:hAnsi="Sylfaen" w:cs="Times New Roman"/>
          <w:b/>
          <w:bCs/>
          <w:i/>
          <w:iCs/>
          <w:kern w:val="2"/>
          <w:lang w:val="en-US" w:eastAsia="en-US"/>
        </w:rPr>
        <w:t>Learning competences / objectives</w:t>
      </w:r>
      <w:r w:rsidR="008F24E2" w:rsidRPr="008F24E2">
        <w:rPr>
          <w:rFonts w:ascii="Sylfaen" w:eastAsia="Calibri" w:hAnsi="Sylfaen" w:cs="Times New Roman"/>
          <w:kern w:val="2"/>
          <w:lang w:val="en-US" w:eastAsia="en-US"/>
        </w:rPr>
        <w:t xml:space="preserve"> </w:t>
      </w:r>
    </w:p>
    <w:p w14:paraId="2FCD2A31" w14:textId="48CE834F" w:rsidR="008F24E2" w:rsidRPr="00076CF7" w:rsidRDefault="008F24E2" w:rsidP="00076CF7">
      <w:pPr>
        <w:pStyle w:val="ListParagraph"/>
        <w:numPr>
          <w:ilvl w:val="0"/>
          <w:numId w:val="114"/>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Demonstrate critical understanding of ethical principles, theories, and normative frameworks applicable to public health, clinical practice, and health policy decision-making in diverse health system contexts.</w:t>
      </w:r>
    </w:p>
    <w:p w14:paraId="6CD85BE3" w14:textId="5523D785" w:rsidR="008F24E2" w:rsidRPr="00076CF7" w:rsidRDefault="008F24E2" w:rsidP="00076CF7">
      <w:pPr>
        <w:pStyle w:val="ListParagraph"/>
        <w:numPr>
          <w:ilvl w:val="0"/>
          <w:numId w:val="114"/>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Apply ethical reasoning and structured decision-making approaches to dilemmas in healthcare delivery, public health programming, and biomedical research including within the regulatory and institutional frameworks of the Armenian health system.</w:t>
      </w:r>
    </w:p>
    <w:p w14:paraId="4349F53F" w14:textId="4141BB74" w:rsidR="008F24E2" w:rsidRPr="00076CF7" w:rsidRDefault="008F24E2" w:rsidP="00076CF7">
      <w:pPr>
        <w:pStyle w:val="ListParagraph"/>
        <w:numPr>
          <w:ilvl w:val="0"/>
          <w:numId w:val="114"/>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Critically assess the role of ethics in balancing individual rights and population health, particularly in the context of equity, justice, and public trust.</w:t>
      </w:r>
    </w:p>
    <w:p w14:paraId="07524D61" w14:textId="59AE2C33" w:rsidR="008F24E2" w:rsidRPr="00076CF7" w:rsidRDefault="008F24E2" w:rsidP="00076CF7">
      <w:pPr>
        <w:pStyle w:val="ListParagraph"/>
        <w:numPr>
          <w:ilvl w:val="0"/>
          <w:numId w:val="114"/>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Integrate ethical, legal, and human rights considerations when evaluating contemporary public health challenges and interventions, including the design and oversight of ethically responsible research involving human participants under national and international standards.</w:t>
      </w:r>
    </w:p>
    <w:p w14:paraId="7B6F2D65" w14:textId="77777777" w:rsidR="008F24E2" w:rsidRPr="008F24E2" w:rsidRDefault="008F24E2" w:rsidP="008F24E2">
      <w:pPr>
        <w:spacing w:after="0"/>
        <w:rPr>
          <w:rFonts w:ascii="Sylfaen" w:eastAsia="Calibri" w:hAnsi="Sylfaen" w:cs="Times New Roman"/>
          <w:kern w:val="2"/>
          <w:lang w:val="en-US" w:eastAsia="en-US"/>
        </w:rPr>
      </w:pPr>
    </w:p>
    <w:p w14:paraId="732D6D81" w14:textId="27829713"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Syllabus content</w:t>
      </w:r>
    </w:p>
    <w:p w14:paraId="30CEEAC5" w14:textId="28652C7B" w:rsidR="008F24E2" w:rsidRPr="00076CF7" w:rsidRDefault="008F24E2" w:rsidP="00076CF7">
      <w:pPr>
        <w:pStyle w:val="ListParagraph"/>
        <w:numPr>
          <w:ilvl w:val="0"/>
          <w:numId w:val="116"/>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Core principles of bioethics: autonomy, beneficence, non-maleficence, and justice.</w:t>
      </w:r>
    </w:p>
    <w:p w14:paraId="0D11599E" w14:textId="15E994F2" w:rsidR="008F24E2" w:rsidRPr="00076CF7" w:rsidRDefault="008F24E2" w:rsidP="00076CF7">
      <w:pPr>
        <w:pStyle w:val="ListParagraph"/>
        <w:numPr>
          <w:ilvl w:val="0"/>
          <w:numId w:val="116"/>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Ethical dilemmas in public health practice, including vaccination, screening, isolation/quarantine, and behavior change policies.</w:t>
      </w:r>
    </w:p>
    <w:p w14:paraId="6DA7B1E7" w14:textId="5707B2F6" w:rsidR="008F24E2" w:rsidRPr="00076CF7" w:rsidRDefault="008F24E2" w:rsidP="00076CF7">
      <w:pPr>
        <w:pStyle w:val="ListParagraph"/>
        <w:numPr>
          <w:ilvl w:val="0"/>
          <w:numId w:val="116"/>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Ethics in health research: informed consent, risk-benefit analysis, vulnerable populations, and international standards.</w:t>
      </w:r>
    </w:p>
    <w:p w14:paraId="5560CAE6" w14:textId="2D4AC471" w:rsidR="008F24E2" w:rsidRPr="00076CF7" w:rsidRDefault="008F24E2" w:rsidP="00076CF7">
      <w:pPr>
        <w:pStyle w:val="ListParagraph"/>
        <w:numPr>
          <w:ilvl w:val="0"/>
          <w:numId w:val="116"/>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Intersection of health ethics with legal frameworks and human rights obligations, including public health law, patient rights legislation, and data protection regulations.</w:t>
      </w:r>
    </w:p>
    <w:p w14:paraId="7D54CD9D" w14:textId="05B126AE" w:rsidR="008F24E2" w:rsidRPr="00076CF7" w:rsidRDefault="008F24E2" w:rsidP="00076CF7">
      <w:pPr>
        <w:pStyle w:val="ListParagraph"/>
        <w:numPr>
          <w:ilvl w:val="0"/>
          <w:numId w:val="116"/>
        </w:numPr>
        <w:spacing w:after="0"/>
        <w:rPr>
          <w:rFonts w:ascii="Sylfaen" w:eastAsia="Calibri" w:hAnsi="Sylfaen" w:cs="Times New Roman"/>
          <w:kern w:val="2"/>
          <w:lang w:val="en-US" w:eastAsia="en-US"/>
        </w:rPr>
      </w:pPr>
      <w:r w:rsidRPr="00076CF7">
        <w:rPr>
          <w:rFonts w:ascii="Sylfaen" w:eastAsia="Calibri" w:hAnsi="Sylfaen" w:cs="Times New Roman"/>
          <w:kern w:val="2"/>
          <w:lang w:val="en-US" w:eastAsia="en-US"/>
        </w:rPr>
        <w:t>Ethical dimensions of controversial health issues such as end-of-life care, reproductive health services, genetic testing, and the prioritization of limited health resources, discussed in light of local cultural values, access challenges, and health system capacity.</w:t>
      </w:r>
    </w:p>
    <w:p w14:paraId="39610E1A" w14:textId="77777777" w:rsidR="008F24E2" w:rsidRPr="008F24E2" w:rsidRDefault="008F24E2" w:rsidP="008F24E2">
      <w:pPr>
        <w:spacing w:after="0"/>
        <w:rPr>
          <w:rFonts w:ascii="Sylfaen" w:eastAsia="Calibri" w:hAnsi="Sylfaen" w:cs="Times New Roman"/>
          <w:kern w:val="2"/>
          <w:lang w:val="en-US" w:eastAsia="en-US"/>
        </w:rPr>
      </w:pPr>
    </w:p>
    <w:p w14:paraId="5B66BDE8" w14:textId="5B806CE0"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Reading materials associated with the module</w:t>
      </w:r>
      <w:r w:rsidRPr="008F24E2">
        <w:rPr>
          <w:rFonts w:ascii="Sylfaen" w:eastAsia="Calibri" w:hAnsi="Sylfaen" w:cs="Times New Roman"/>
          <w:kern w:val="2"/>
          <w:lang w:val="en-US" w:eastAsia="en-US"/>
        </w:rPr>
        <w:t>. Note: Course is taught in Armenian. The following international sources are used by faculty to prepare Armenian-language content. Armenian sources are listed with translated titles.</w:t>
      </w:r>
    </w:p>
    <w:p w14:paraId="2DAEDA4E"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 xml:space="preserve">Beauchamp, T.L. &amp; Childress, J.F. 2019, Principles of Biomedical Ethics, 8th </w:t>
      </w:r>
      <w:proofErr w:type="spellStart"/>
      <w:r w:rsidRPr="008F24E2">
        <w:rPr>
          <w:rFonts w:ascii="Sylfaen" w:eastAsia="Calibri" w:hAnsi="Sylfaen" w:cs="Times New Roman"/>
          <w:kern w:val="2"/>
          <w:lang w:val="en-US" w:eastAsia="en-US"/>
        </w:rPr>
        <w:t>edn</w:t>
      </w:r>
      <w:proofErr w:type="spellEnd"/>
      <w:r w:rsidRPr="008F24E2">
        <w:rPr>
          <w:rFonts w:ascii="Sylfaen" w:eastAsia="Calibri" w:hAnsi="Sylfaen" w:cs="Times New Roman"/>
          <w:kern w:val="2"/>
          <w:lang w:val="en-US" w:eastAsia="en-US"/>
        </w:rPr>
        <w:t>, Oxford University Press.</w:t>
      </w:r>
    </w:p>
    <w:p w14:paraId="30B2532C"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Resnik, D.B. (2018). The Ethics of Research with Human Subjects: Protecting People, Advancing Science, Promoting Trust, Springer.</w:t>
      </w:r>
    </w:p>
    <w:p w14:paraId="1FCBFC30"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 xml:space="preserve">Childress, J.F., Faden, R., Gaare, R., Gostin, L., Kahn, J., Bonnie, R.J., et al. 2002, Public Health Ethics: Mapping the Terrain, Journal of Law, Medicine &amp; Ethics, vol. 30, no. 2, pp. 170–178. https://bioethics.jhu.edu/wp-content/uploads/2023/05/Public-Health-Ethics-Mapping-the-Terrain-Childress-2002-The-Journal-of-Law-Medicine-Ethics-Wiley-Online-Library.pdf </w:t>
      </w:r>
    </w:p>
    <w:p w14:paraId="79D56E69"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 xml:space="preserve">Council for International Organizations of Medical Sciences (CIOMS). 2016, International Ethical Guidelines for Health-Related Research Involving Humans. https://cioms.ch/publications/product/international-ethical-guidelines-for-health-related-research-involving-humans/ </w:t>
      </w:r>
    </w:p>
    <w:p w14:paraId="020B76D0"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lastRenderedPageBreak/>
        <w:t xml:space="preserve">World Health Organization (WHO). 2015, Guidance on Ethics in Public Health Surveillance. https://www.who.int/publications/i/item/who-guidelines-on-ethical-issues-in-public-health-surveillance </w:t>
      </w:r>
    </w:p>
    <w:p w14:paraId="165BAFA6"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 xml:space="preserve">UNESCO. 2005, Universal Declaration on Bioethics and Human Rights. https://www.unesco.org/en/legal-affairs/universal-declaration-bioethics-and-human-rights </w:t>
      </w:r>
    </w:p>
    <w:p w14:paraId="5C9E27A9"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Nersesova, L.S., Khachatryan, Z.A. and Mkrtchyan, S.A., 2012. Introduction to bioethics. (in Armenian). Yerevan. “</w:t>
      </w:r>
      <w:proofErr w:type="spellStart"/>
      <w:r w:rsidRPr="008F24E2">
        <w:rPr>
          <w:rFonts w:ascii="Sylfaen" w:eastAsia="Calibri" w:hAnsi="Sylfaen" w:cs="Times New Roman"/>
          <w:kern w:val="2"/>
          <w:lang w:val="en-US" w:eastAsia="en-US"/>
        </w:rPr>
        <w:t>Gitutyun</w:t>
      </w:r>
      <w:proofErr w:type="spellEnd"/>
      <w:r w:rsidRPr="008F24E2">
        <w:rPr>
          <w:rFonts w:ascii="Sylfaen" w:eastAsia="Calibri" w:hAnsi="Sylfaen" w:cs="Times New Roman"/>
          <w:kern w:val="2"/>
          <w:lang w:val="en-US" w:eastAsia="en-US"/>
        </w:rPr>
        <w:t>” Publishing House of the National Academy of Sciences of Armenia.</w:t>
      </w:r>
    </w:p>
    <w:p w14:paraId="388B1119"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Relevant Armenian Legislation Related to Bioethics: National laws and regulations on public health, medical care, patients' rights, biomedical research, and the functioning of ethics committees.</w:t>
      </w:r>
    </w:p>
    <w:p w14:paraId="231807DA" w14:textId="77777777" w:rsidR="008F24E2" w:rsidRPr="008F24E2" w:rsidRDefault="008F24E2" w:rsidP="008F24E2">
      <w:pPr>
        <w:pStyle w:val="ListParagraph"/>
        <w:numPr>
          <w:ilvl w:val="0"/>
          <w:numId w:val="47"/>
        </w:num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YSMU Ethics Committee Documents https://ysmu.am/</w:t>
      </w:r>
    </w:p>
    <w:p w14:paraId="543B2606" w14:textId="77777777" w:rsidR="008F24E2" w:rsidRDefault="008F24E2" w:rsidP="008F24E2">
      <w:pPr>
        <w:spacing w:after="0"/>
        <w:rPr>
          <w:rFonts w:ascii="Sylfaen" w:eastAsia="Calibri" w:hAnsi="Sylfaen" w:cs="Times New Roman"/>
          <w:b/>
          <w:bCs/>
          <w:i/>
          <w:iCs/>
          <w:kern w:val="2"/>
          <w:lang w:val="en-US" w:eastAsia="en-US"/>
        </w:rPr>
      </w:pPr>
    </w:p>
    <w:p w14:paraId="7B4724E9" w14:textId="5C3E11BB"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Assessments used</w:t>
      </w:r>
    </w:p>
    <w:p w14:paraId="7360030A"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Component A: 3000-word written assignment (70% weighting)</w:t>
      </w:r>
    </w:p>
    <w:p w14:paraId="45619556"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Component B: Oral presentation (30% weighting)</w:t>
      </w:r>
    </w:p>
    <w:p w14:paraId="4BAAE413"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The summative assessment for this module consists of a written assignment and an oral defense. The written assignment is a 2,500–3,000-word analytical essay that evaluates the student’s capacity to critically examine a selected ethical issue in public health, healthcare delivery, or biomedical research. The assignment assesses students’ ability to apply ethical theories and frameworks, structure arguments logically, incorporate legal and human rights perspectives, and demonstrate an understanding of the Armenian and international contexts. Topics may include vaccination mandates, reproductive rights, informed consent in vulnerable populations, or prioritization of scarce health resources.</w:t>
      </w:r>
    </w:p>
    <w:p w14:paraId="75FC92F4" w14:textId="3B272CB9"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Following submission, students will participate in an oral defense of their work. The oral presentation requires students to defend their ethical analysis in a structured format. It evaluates the student’s ability to clearly articulate ethical reasoning, justify the use of specific ethical theories and principles, respond to counterarguments, and demonstrate awareness of legal and cultural considerations in health decision-making. Feedback is provided after the oral defense to support students’ reflective learning and professional development.</w:t>
      </w:r>
    </w:p>
    <w:p w14:paraId="4FE9FFC4" w14:textId="759E839D" w:rsidR="008F24E2" w:rsidRPr="00916805"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Formative assessment includes classroom debates, structured ethical case discussions, review of national and international ethical guidelines and preparatory exercises focused on applying ethical principles to real-world dilemmas in healthcare and public health.</w:t>
      </w:r>
    </w:p>
    <w:p w14:paraId="2FD0118D" w14:textId="77777777" w:rsidR="008F24E2" w:rsidRDefault="008F24E2" w:rsidP="001C1482">
      <w:pPr>
        <w:spacing w:after="0"/>
        <w:rPr>
          <w:rFonts w:ascii="Sylfaen" w:eastAsia="Calibri" w:hAnsi="Sylfaen" w:cs="Times New Roman"/>
          <w:b/>
          <w:bCs/>
          <w:i/>
          <w:iCs/>
          <w:color w:val="4F81BD" w:themeColor="accent1"/>
          <w:kern w:val="2"/>
          <w:u w:val="single"/>
          <w:lang w:val="en-US" w:eastAsia="en-US"/>
        </w:rPr>
      </w:pPr>
    </w:p>
    <w:p w14:paraId="3A453E69" w14:textId="68EB8EBF" w:rsidR="00674EAD" w:rsidRDefault="00674EAD" w:rsidP="001C1482">
      <w:pPr>
        <w:spacing w:after="0"/>
        <w:rPr>
          <w:rFonts w:ascii="Sylfaen" w:eastAsia="Calibri" w:hAnsi="Sylfaen" w:cs="Times New Roman"/>
          <w:b/>
          <w:bCs/>
          <w:i/>
          <w:iCs/>
          <w:color w:val="4F81BD" w:themeColor="accent1"/>
          <w:kern w:val="2"/>
          <w:u w:val="single"/>
          <w:lang w:val="en-US" w:eastAsia="en-US"/>
        </w:rPr>
      </w:pPr>
      <w:r w:rsidRPr="00674EAD">
        <w:rPr>
          <w:rFonts w:ascii="Sylfaen" w:eastAsia="Calibri" w:hAnsi="Sylfaen" w:cs="Times New Roman"/>
          <w:b/>
          <w:bCs/>
          <w:i/>
          <w:iCs/>
          <w:color w:val="4F81BD" w:themeColor="accent1"/>
          <w:kern w:val="2"/>
          <w:u w:val="single"/>
          <w:lang w:val="en-US" w:eastAsia="en-US"/>
        </w:rPr>
        <w:t xml:space="preserve">Health Program Planning, Implementation and Evaluation </w:t>
      </w:r>
      <w:r w:rsidR="00E63A5D" w:rsidRPr="00E63A5D">
        <w:rPr>
          <w:rFonts w:ascii="Sylfaen" w:eastAsia="Calibri" w:hAnsi="Sylfaen" w:cs="Times New Roman"/>
          <w:b/>
          <w:bCs/>
          <w:i/>
          <w:iCs/>
          <w:color w:val="4F81BD" w:themeColor="accent1"/>
          <w:kern w:val="2"/>
          <w:u w:val="single"/>
          <w:lang w:val="en-US" w:eastAsia="en-US"/>
        </w:rPr>
        <w:t>(3 credits)</w:t>
      </w:r>
    </w:p>
    <w:p w14:paraId="6ED597F6" w14:textId="3C7E4448" w:rsidR="008F24E2" w:rsidRPr="008F24E2" w:rsidRDefault="00674EAD" w:rsidP="008F24E2">
      <w:pPr>
        <w:spacing w:after="0"/>
        <w:jc w:val="both"/>
        <w:rPr>
          <w:rFonts w:ascii="Sylfaen" w:eastAsia="Calibri" w:hAnsi="Sylfaen" w:cs="Times New Roman"/>
          <w:kern w:val="2"/>
          <w:lang w:val="en-US" w:eastAsia="en-US"/>
        </w:rPr>
      </w:pPr>
      <w:r w:rsidRPr="00674EAD">
        <w:rPr>
          <w:rFonts w:ascii="Sylfaen" w:eastAsia="Calibri" w:hAnsi="Sylfaen" w:cs="Times New Roman"/>
          <w:bCs/>
          <w:kern w:val="2"/>
          <w:lang w:val="hy-AM" w:eastAsia="en-US"/>
        </w:rPr>
        <w:t>This module equips students with the knowledge and skills necessary to plan, implement, and evaluate healthcare programs at local, national, and international levels. Students learn to apply evidence-based tools such as logic models, problem trees, and results frameworks to design effective interventions, incorporating stakeholder engagement, resource planning, and operational logistics. The module emphasizes the development of monitoring and evaluation systems, the use of quantitative and qualitative data for assessing program performance, and the integration of ethical, contextual, and system-level considerations. Through case studies and practical exercises—including examples from Armenian health programs—students gain the competence to critically assess program relevance, efficiency, impact, and sustainability, and to use evaluation findings for adaptive management and policy decision-making.</w:t>
      </w:r>
      <w:r w:rsidR="001A3C5B" w:rsidRPr="00916805">
        <w:rPr>
          <w:rFonts w:ascii="Sylfaen" w:eastAsia="Calibri" w:hAnsi="Sylfaen" w:cs="Times New Roman"/>
          <w:kern w:val="2"/>
          <w:lang w:val="en-US" w:eastAsia="en-US"/>
        </w:rPr>
        <w:br/>
      </w:r>
      <w:r w:rsidR="008F24E2" w:rsidRPr="008F24E2">
        <w:rPr>
          <w:rFonts w:ascii="Sylfaen" w:eastAsia="Calibri" w:hAnsi="Sylfaen" w:cs="Times New Roman"/>
          <w:b/>
          <w:bCs/>
          <w:i/>
          <w:iCs/>
          <w:kern w:val="2"/>
          <w:lang w:val="en-US" w:eastAsia="en-US"/>
        </w:rPr>
        <w:t>Learning competences / objectives</w:t>
      </w:r>
      <w:r w:rsidR="008F24E2" w:rsidRPr="008F24E2">
        <w:rPr>
          <w:rFonts w:ascii="Sylfaen" w:eastAsia="Calibri" w:hAnsi="Sylfaen" w:cs="Times New Roman"/>
          <w:kern w:val="2"/>
          <w:lang w:val="en-US" w:eastAsia="en-US"/>
        </w:rPr>
        <w:t xml:space="preserve"> </w:t>
      </w:r>
    </w:p>
    <w:p w14:paraId="1333B979" w14:textId="02992B89" w:rsidR="008F24E2" w:rsidRPr="00076CF7" w:rsidRDefault="008F24E2" w:rsidP="00076CF7">
      <w:pPr>
        <w:pStyle w:val="bullet"/>
      </w:pPr>
      <w:r w:rsidRPr="00076CF7">
        <w:lastRenderedPageBreak/>
        <w:t>Demonstrate critical understanding of the principles and frameworks guiding the planning, implementation, and evaluation of healthcare programs at local, national, and international levels.</w:t>
      </w:r>
    </w:p>
    <w:p w14:paraId="425F093C" w14:textId="7F4A8850" w:rsidR="008F24E2" w:rsidRPr="00076CF7" w:rsidRDefault="008F24E2" w:rsidP="00076CF7">
      <w:pPr>
        <w:pStyle w:val="bullet"/>
      </w:pPr>
      <w:r w:rsidRPr="00076CF7">
        <w:t>Apply evidence-based tools such as logic models, problem trees, and results frameworks to design effective and feasible health interventions.</w:t>
      </w:r>
    </w:p>
    <w:p w14:paraId="52F21810" w14:textId="2F6C3199" w:rsidR="008F24E2" w:rsidRPr="00076CF7" w:rsidRDefault="008F24E2" w:rsidP="00076CF7">
      <w:pPr>
        <w:pStyle w:val="bullet"/>
      </w:pPr>
      <w:r w:rsidRPr="00076CF7">
        <w:t>Demonstrate competence in developing implementation strategies that incorporate stakeholder engagement, resource planning, risk management, and operational logistics.</w:t>
      </w:r>
    </w:p>
    <w:p w14:paraId="2C9212C7" w14:textId="5D915BBF" w:rsidR="008F24E2" w:rsidRPr="00076CF7" w:rsidRDefault="008F24E2" w:rsidP="00076CF7">
      <w:pPr>
        <w:pStyle w:val="bullet"/>
      </w:pPr>
      <w:r w:rsidRPr="00076CF7">
        <w:t>Demonstrate the ability to design and apply monitoring and evaluation (M&amp;E) frameworks using appropriate indicators, data sources, and feedback mechanisms.</w:t>
      </w:r>
    </w:p>
    <w:p w14:paraId="7AE72485" w14:textId="57013992" w:rsidR="008F24E2" w:rsidRPr="00076CF7" w:rsidRDefault="008F24E2" w:rsidP="00076CF7">
      <w:pPr>
        <w:pStyle w:val="bullet"/>
      </w:pPr>
      <w:r w:rsidRPr="00076CF7">
        <w:t>Critically assess program performance and effectiveness using evaluation criteria such as relevance, efficiency, impact, and sustainability.</w:t>
      </w:r>
    </w:p>
    <w:p w14:paraId="1071066B" w14:textId="3EE3DCA6" w:rsidR="008F24E2" w:rsidRPr="00076CF7" w:rsidRDefault="008F24E2" w:rsidP="00076CF7">
      <w:pPr>
        <w:pStyle w:val="bullet"/>
      </w:pPr>
      <w:r w:rsidRPr="00076CF7">
        <w:t>Demonstrate awareness of ethical, contextual, and system-level factors influencing program success and learning.</w:t>
      </w:r>
    </w:p>
    <w:p w14:paraId="5B0FF356" w14:textId="77777777" w:rsidR="008F24E2" w:rsidRPr="008F24E2" w:rsidRDefault="008F24E2" w:rsidP="008F24E2">
      <w:pPr>
        <w:spacing w:after="0"/>
        <w:jc w:val="both"/>
        <w:rPr>
          <w:rFonts w:ascii="Sylfaen" w:eastAsia="Calibri" w:hAnsi="Sylfaen" w:cs="Times New Roman"/>
          <w:kern w:val="2"/>
          <w:lang w:val="en-US" w:eastAsia="en-US"/>
        </w:rPr>
      </w:pPr>
    </w:p>
    <w:p w14:paraId="0DF71A7D" w14:textId="5F7ED933" w:rsidR="008F24E2" w:rsidRPr="008F24E2" w:rsidRDefault="008F24E2" w:rsidP="008F24E2">
      <w:pPr>
        <w:spacing w:after="0"/>
        <w:jc w:val="both"/>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Syllabus content</w:t>
      </w:r>
    </w:p>
    <w:p w14:paraId="5BBFE4A2" w14:textId="439E4C0B" w:rsidR="008F24E2" w:rsidRPr="00076CF7" w:rsidRDefault="008F24E2" w:rsidP="00076CF7">
      <w:pPr>
        <w:pStyle w:val="bullet"/>
      </w:pPr>
      <w:r w:rsidRPr="00076CF7">
        <w:t>Introduction to healthcare program planning: definitions, purpose, and stages in the program cycle (planning, implementation, monitoring, evaluation), including reference to Armenia’s national health strategy and planning procedures.</w:t>
      </w:r>
    </w:p>
    <w:p w14:paraId="6BB2EFAB" w14:textId="2AD81C70" w:rsidR="008F24E2" w:rsidRPr="00076CF7" w:rsidRDefault="008F24E2" w:rsidP="00076CF7">
      <w:pPr>
        <w:pStyle w:val="bullet"/>
      </w:pPr>
      <w:r w:rsidRPr="00076CF7">
        <w:t>Situational and problem analysis: stakeholder mapping, root cause analysis, priority setting, and use of epidemiological and service delivery data from national health information systems.</w:t>
      </w:r>
    </w:p>
    <w:p w14:paraId="4AA164A3" w14:textId="3FC7B161" w:rsidR="008F24E2" w:rsidRPr="00076CF7" w:rsidRDefault="008F24E2" w:rsidP="00076CF7">
      <w:pPr>
        <w:pStyle w:val="bullet"/>
      </w:pPr>
      <w:r w:rsidRPr="00076CF7">
        <w:t>Planning tools and frameworks: development of logic models, problem trees, objectives hierarchies, and results-based management approaches, including applications in maternal and child health, NCDs, or primary care reforms in Armenia.</w:t>
      </w:r>
    </w:p>
    <w:p w14:paraId="2C9EA240" w14:textId="6AECB505" w:rsidR="008F24E2" w:rsidRPr="00076CF7" w:rsidRDefault="008F24E2" w:rsidP="00076CF7">
      <w:pPr>
        <w:pStyle w:val="bullet"/>
      </w:pPr>
      <w:r w:rsidRPr="00076CF7">
        <w:t>Implementation planning: defining activities, timelines, roles, partnerships, budgeting, and coordination strategies, considering institutional structures such as regional health departments and MoH implementation units.</w:t>
      </w:r>
    </w:p>
    <w:p w14:paraId="5CC32D57" w14:textId="15E97868" w:rsidR="008F24E2" w:rsidRPr="00076CF7" w:rsidRDefault="008F24E2" w:rsidP="00076CF7">
      <w:pPr>
        <w:pStyle w:val="bullet"/>
      </w:pPr>
      <w:r w:rsidRPr="00076CF7">
        <w:t>Monitoring and evaluation (M&amp;E) systems: development of input, output, outcome, and impact indicators; setting baselines and targets.</w:t>
      </w:r>
    </w:p>
    <w:p w14:paraId="46AF565F" w14:textId="38BCDD5D" w:rsidR="008F24E2" w:rsidRPr="00076CF7" w:rsidRDefault="008F24E2" w:rsidP="00076CF7">
      <w:pPr>
        <w:pStyle w:val="bullet"/>
      </w:pPr>
      <w:r w:rsidRPr="00076CF7">
        <w:t>Data collection and analysis for M&amp;E: quantitative and qualitative tools, ethical considerations, and data quality assurance, with emphasis on Armenia’s legal and institutional data governance context.</w:t>
      </w:r>
    </w:p>
    <w:p w14:paraId="4F914657" w14:textId="4084F960" w:rsidR="008F24E2" w:rsidRPr="00076CF7" w:rsidRDefault="008F24E2" w:rsidP="00076CF7">
      <w:pPr>
        <w:pStyle w:val="bullet"/>
      </w:pPr>
      <w:r w:rsidRPr="00076CF7">
        <w:t>Mid-term and end-line evaluation: formative vs. summative evaluation, evaluation design, analysis, reporting, and learning, using examples from national or donor-supported health programs.</w:t>
      </w:r>
    </w:p>
    <w:p w14:paraId="13444A8E" w14:textId="485FA161" w:rsidR="008F24E2" w:rsidRPr="008F24E2" w:rsidRDefault="008F24E2" w:rsidP="00076CF7">
      <w:pPr>
        <w:pStyle w:val="bullet"/>
      </w:pPr>
      <w:r w:rsidRPr="00076CF7">
        <w:t>Feedback loops and adaptive management: using M&amp;E data for decision-making, program improvement</w:t>
      </w:r>
      <w:r w:rsidRPr="008F24E2">
        <w:t>, and accountability within Armenia’s decentralized health governance framework.</w:t>
      </w:r>
    </w:p>
    <w:p w14:paraId="3DECDFFC" w14:textId="77777777" w:rsidR="008F24E2" w:rsidRPr="008F24E2" w:rsidRDefault="008F24E2" w:rsidP="008F24E2">
      <w:pPr>
        <w:spacing w:after="0"/>
        <w:jc w:val="both"/>
        <w:rPr>
          <w:rFonts w:ascii="Sylfaen" w:eastAsia="Calibri" w:hAnsi="Sylfaen" w:cs="Times New Roman"/>
          <w:kern w:val="2"/>
          <w:lang w:val="en-US" w:eastAsia="en-US"/>
        </w:rPr>
      </w:pPr>
    </w:p>
    <w:p w14:paraId="43599B71" w14:textId="59E99FF5"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Reading materials associated with the module.</w:t>
      </w:r>
      <w:r w:rsidRPr="008F24E2">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0D5244D3" w14:textId="77777777" w:rsidR="008F24E2" w:rsidRPr="008F24E2" w:rsidRDefault="008F24E2" w:rsidP="00076CF7">
      <w:pPr>
        <w:pStyle w:val="bullet"/>
      </w:pPr>
      <w:r w:rsidRPr="008F24E2">
        <w:t xml:space="preserve">Issel, L.M. &amp; Wells, R. (2017). Health Program Planning and Evaluation: A Practical, Systematic Approach for Community Health, 4th </w:t>
      </w:r>
      <w:proofErr w:type="spellStart"/>
      <w:r w:rsidRPr="008F24E2">
        <w:t>edn</w:t>
      </w:r>
      <w:proofErr w:type="spellEnd"/>
      <w:r w:rsidRPr="008F24E2">
        <w:t>, Jones &amp; Bartlett Learning.</w:t>
      </w:r>
    </w:p>
    <w:p w14:paraId="7C708E2A" w14:textId="77777777" w:rsidR="008F24E2" w:rsidRPr="008F24E2" w:rsidRDefault="008F24E2" w:rsidP="00076CF7">
      <w:pPr>
        <w:pStyle w:val="bullet"/>
      </w:pPr>
      <w:r w:rsidRPr="008F24E2">
        <w:t xml:space="preserve">McKenzie, J.F., Neiger, B.L., &amp; Thackeray, R. (2016). Planning, Implementing, and Evaluating Health Promotion Programs: A Primer, 7th </w:t>
      </w:r>
      <w:proofErr w:type="spellStart"/>
      <w:r w:rsidRPr="008F24E2">
        <w:t>edn</w:t>
      </w:r>
      <w:proofErr w:type="spellEnd"/>
      <w:r w:rsidRPr="008F24E2">
        <w:t>, Pearson.</w:t>
      </w:r>
    </w:p>
    <w:p w14:paraId="0DF997B9" w14:textId="77777777" w:rsidR="008F24E2" w:rsidRPr="008F24E2" w:rsidRDefault="008F24E2" w:rsidP="00076CF7">
      <w:pPr>
        <w:pStyle w:val="bullet"/>
      </w:pPr>
      <w:r w:rsidRPr="008F24E2">
        <w:t xml:space="preserve">Kettner, P.M., Moroney, R.M., &amp; Martin, L.L. (2017). Designing and Managing Programs: An Effectiveness-Based Approach, 5th </w:t>
      </w:r>
      <w:proofErr w:type="spellStart"/>
      <w:r w:rsidRPr="008F24E2">
        <w:t>edn</w:t>
      </w:r>
      <w:proofErr w:type="spellEnd"/>
      <w:r w:rsidRPr="008F24E2">
        <w:t>, SAGE Publications.</w:t>
      </w:r>
    </w:p>
    <w:p w14:paraId="6033EC07" w14:textId="77777777" w:rsidR="008F24E2" w:rsidRPr="008F24E2" w:rsidRDefault="008F24E2" w:rsidP="00076CF7">
      <w:pPr>
        <w:pStyle w:val="bullet"/>
      </w:pPr>
      <w:r w:rsidRPr="008F24E2">
        <w:lastRenderedPageBreak/>
        <w:t xml:space="preserve">World Health Organization. (2016). Strategizing National Health in the 21st Century: A Handbook. https://iris.who.int/handle/10665/250221 </w:t>
      </w:r>
    </w:p>
    <w:p w14:paraId="742F1A09" w14:textId="77777777" w:rsidR="008F24E2" w:rsidRPr="008F24E2" w:rsidRDefault="008F24E2" w:rsidP="00076CF7">
      <w:pPr>
        <w:pStyle w:val="bullet"/>
      </w:pPr>
      <w:r w:rsidRPr="008F24E2">
        <w:t>Ministry of Health of the Republic of Armenia (2022). National Health Strategy and Program Evaluation Reports. Yerevan. https://moh.am</w:t>
      </w:r>
    </w:p>
    <w:p w14:paraId="6CE9A476" w14:textId="77777777" w:rsidR="008F24E2" w:rsidRDefault="008F24E2" w:rsidP="008F24E2">
      <w:pPr>
        <w:spacing w:after="0"/>
        <w:jc w:val="both"/>
        <w:rPr>
          <w:rFonts w:ascii="Sylfaen" w:eastAsia="Calibri" w:hAnsi="Sylfaen" w:cs="Times New Roman"/>
          <w:b/>
          <w:bCs/>
          <w:i/>
          <w:iCs/>
          <w:kern w:val="2"/>
          <w:lang w:val="en-US" w:eastAsia="en-US"/>
        </w:rPr>
      </w:pPr>
    </w:p>
    <w:p w14:paraId="423A1A14" w14:textId="61A0B26B" w:rsidR="008F24E2" w:rsidRPr="008F24E2" w:rsidRDefault="008F24E2" w:rsidP="008F24E2">
      <w:pPr>
        <w:spacing w:after="0"/>
        <w:jc w:val="both"/>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Assessments used</w:t>
      </w:r>
    </w:p>
    <w:p w14:paraId="4A0741F7" w14:textId="77777777"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The summative assessment includes two components:</w:t>
      </w:r>
    </w:p>
    <w:p w14:paraId="137A8344" w14:textId="77777777"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Component A: paper-based test (60% weighting)</w:t>
      </w:r>
    </w:p>
    <w:p w14:paraId="5E0A75B5" w14:textId="77777777"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Component B: Oral presentation (40% weighting)</w:t>
      </w:r>
    </w:p>
    <w:p w14:paraId="52528ED3" w14:textId="77777777"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A paper-based test with close-ended questions designed to assess students’ theoretical understanding of planning frameworks, monitoring tools, and evaluation designs. The test includes multiple-choice questions to evaluate comprehension of planning models, monitoring tools, and stages of implementation; single-best-answer questions that assess the ability to identify the most appropriate planning or evaluation approach within a given scenario; and exception-type questions that require students to select the one item that does not apply to a specified programmatic or evaluative context. In order to pass the module, students must achieve a score of at least 50% on this component.</w:t>
      </w:r>
    </w:p>
    <w:p w14:paraId="443E07F9" w14:textId="77777777" w:rsidR="008F24E2" w:rsidRP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Students are required to develop and present a comprehensive program plan for a selected public health issue. The presentation must include a logic model, a clearly defined set of objectives and activities, an implementation strategy with defined timelines and stakeholder responsibilities, and a proposed monitoring and evaluation framework that outlines appropriate indicators and data sources. This component assesses the student’s ability to translate theoretical knowledge into practical applications, demonstrate critical thinking and planning skills, and communicate effectively to a professional or stakeholder audience.</w:t>
      </w:r>
    </w:p>
    <w:p w14:paraId="1B2DF0B3" w14:textId="1AC4B4B3" w:rsidR="008F24E2" w:rsidRDefault="008F24E2" w:rsidP="008F24E2">
      <w:pPr>
        <w:spacing w:after="0"/>
        <w:jc w:val="both"/>
        <w:rPr>
          <w:rFonts w:ascii="Sylfaen" w:eastAsia="Calibri" w:hAnsi="Sylfaen" w:cs="Times New Roman"/>
          <w:kern w:val="2"/>
          <w:lang w:val="en-US" w:eastAsia="en-US"/>
        </w:rPr>
      </w:pPr>
      <w:r w:rsidRPr="008F24E2">
        <w:rPr>
          <w:rFonts w:ascii="Sylfaen" w:eastAsia="Calibri" w:hAnsi="Sylfaen" w:cs="Times New Roman"/>
          <w:kern w:val="2"/>
          <w:lang w:val="en-US" w:eastAsia="en-US"/>
        </w:rPr>
        <w:t>Formative assessment includes structured in-class discussions, peer feedback, and practice exercises focused on program planning, implementation and M&amp;E design. These activities allow students to apply key concepts, receive feedback, and prepare for both components of the final assessment.</w:t>
      </w:r>
    </w:p>
    <w:p w14:paraId="2944F1A8" w14:textId="77777777" w:rsidR="008F24E2" w:rsidRPr="00916805" w:rsidRDefault="008F24E2" w:rsidP="002133F8">
      <w:pPr>
        <w:spacing w:after="0"/>
        <w:jc w:val="both"/>
        <w:rPr>
          <w:rFonts w:ascii="Sylfaen" w:eastAsia="Calibri" w:hAnsi="Sylfaen" w:cs="Times New Roman"/>
          <w:kern w:val="2"/>
          <w:lang w:val="en-US" w:eastAsia="en-US"/>
        </w:rPr>
      </w:pPr>
    </w:p>
    <w:p w14:paraId="10D711F9" w14:textId="6583036A" w:rsidR="001A3C5B" w:rsidRPr="00916805" w:rsidRDefault="001A3C5B" w:rsidP="001C1482">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Health </w:t>
      </w:r>
      <w:r w:rsidR="00674EAD" w:rsidRPr="00916805">
        <w:rPr>
          <w:rFonts w:ascii="Sylfaen" w:eastAsia="Calibri" w:hAnsi="Sylfaen" w:cs="Times New Roman"/>
          <w:b/>
          <w:bCs/>
          <w:i/>
          <w:iCs/>
          <w:color w:val="4F81BD" w:themeColor="accent1"/>
          <w:kern w:val="2"/>
          <w:u w:val="single"/>
          <w:lang w:val="en-US" w:eastAsia="en-US"/>
        </w:rPr>
        <w:t xml:space="preserve">Finance and </w:t>
      </w:r>
      <w:r w:rsidRPr="00916805">
        <w:rPr>
          <w:rFonts w:ascii="Sylfaen" w:eastAsia="Calibri" w:hAnsi="Sylfaen" w:cs="Times New Roman"/>
          <w:b/>
          <w:bCs/>
          <w:i/>
          <w:iCs/>
          <w:color w:val="4F81BD" w:themeColor="accent1"/>
          <w:kern w:val="2"/>
          <w:u w:val="single"/>
          <w:lang w:val="en-US" w:eastAsia="en-US"/>
        </w:rPr>
        <w:t xml:space="preserve">Economics </w:t>
      </w:r>
      <w:r w:rsidR="00E63A5D" w:rsidRPr="00E63A5D">
        <w:rPr>
          <w:rFonts w:ascii="Sylfaen" w:eastAsia="Calibri" w:hAnsi="Sylfaen" w:cs="Times New Roman"/>
          <w:b/>
          <w:bCs/>
          <w:i/>
          <w:iCs/>
          <w:color w:val="4F81BD" w:themeColor="accent1"/>
          <w:kern w:val="2"/>
          <w:u w:val="single"/>
          <w:lang w:val="en-US" w:eastAsia="en-US"/>
        </w:rPr>
        <w:t>(3 credits)</w:t>
      </w:r>
    </w:p>
    <w:p w14:paraId="1AD1BB02" w14:textId="77DB338D" w:rsidR="001A3C5B" w:rsidRDefault="00674EAD" w:rsidP="002133F8">
      <w:pPr>
        <w:spacing w:after="0"/>
        <w:jc w:val="both"/>
        <w:rPr>
          <w:rFonts w:ascii="Sylfaen" w:eastAsia="Calibri" w:hAnsi="Sylfaen" w:cs="Times New Roman"/>
          <w:kern w:val="2"/>
          <w:lang w:val="en-US" w:eastAsia="en-US"/>
        </w:rPr>
      </w:pPr>
      <w:r w:rsidRPr="00674EAD">
        <w:rPr>
          <w:rFonts w:ascii="Sylfaen" w:eastAsia="Calibri" w:hAnsi="Sylfaen" w:cs="Times New Roman"/>
          <w:kern w:val="2"/>
          <w:lang w:val="en-US" w:eastAsia="en-US"/>
        </w:rPr>
        <w:t>This module introduces students to the principles and applications of health economics in public health and healthcare systems, with a particular focus on Armenia. Students gain critical understanding of concepts such as opportunity cost, efficiency, equity, and marginal analysis, and apply economic reasoning to evaluate resource allocation, healthcare market behavior, and financing decisions. The module covers methods of economic evaluation—including cost-effectiveness, cost-utility, and cost-benefit analyses—and explores the design, sustainability, and equity implications of various health financing models, including public, private, and social insurance systems. Case studies from Armenian health reforms and international systems provide practical context for evidence-informed decision-making and policy analysis.</w:t>
      </w:r>
    </w:p>
    <w:p w14:paraId="3C77E64B" w14:textId="54EE0FD8"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Learning competences / objectives</w:t>
      </w:r>
      <w:r w:rsidRPr="008F24E2">
        <w:rPr>
          <w:rFonts w:ascii="Sylfaen" w:eastAsia="Calibri" w:hAnsi="Sylfaen" w:cs="Times New Roman"/>
          <w:kern w:val="2"/>
          <w:lang w:val="en-US" w:eastAsia="en-US"/>
        </w:rPr>
        <w:t xml:space="preserve"> </w:t>
      </w:r>
    </w:p>
    <w:p w14:paraId="5ECA99D8" w14:textId="3BB9B7DA" w:rsidR="008F24E2" w:rsidRPr="00076CF7" w:rsidRDefault="008F24E2" w:rsidP="00076CF7">
      <w:pPr>
        <w:pStyle w:val="bullet"/>
      </w:pPr>
      <w:r w:rsidRPr="00076CF7">
        <w:t>Demonstrate critical understanding of the core principles of health economics, including opportunity cost, efficiency, equity, and marginal analysis, and their relevance for public health and healthcare systems.</w:t>
      </w:r>
    </w:p>
    <w:p w14:paraId="1D7CE211" w14:textId="19E3535B" w:rsidR="008F24E2" w:rsidRPr="00076CF7" w:rsidRDefault="008F24E2" w:rsidP="00076CF7">
      <w:pPr>
        <w:pStyle w:val="bullet"/>
      </w:pPr>
      <w:r w:rsidRPr="00076CF7">
        <w:t xml:space="preserve">Apply analytical reasoning to evaluate resource allocation, healthcare market </w:t>
      </w:r>
      <w:proofErr w:type="spellStart"/>
      <w:r w:rsidRPr="00076CF7">
        <w:t>behaviour</w:t>
      </w:r>
      <w:proofErr w:type="spellEnd"/>
      <w:r w:rsidRPr="00076CF7">
        <w:t>, and the trade-offs involved in financing decisions within various health system models.</w:t>
      </w:r>
    </w:p>
    <w:p w14:paraId="5AF95D8C" w14:textId="6F3F2D96" w:rsidR="008F24E2" w:rsidRPr="00076CF7" w:rsidRDefault="008F24E2" w:rsidP="00076CF7">
      <w:pPr>
        <w:pStyle w:val="bullet"/>
      </w:pPr>
      <w:r w:rsidRPr="00076CF7">
        <w:lastRenderedPageBreak/>
        <w:t>Demonstrate applied knowledge of economic evaluation methods, including cost-effectiveness, cost-utility, and cost-benefit analyses, and interpret results to inform evidence-based policy and decision-making.</w:t>
      </w:r>
    </w:p>
    <w:p w14:paraId="2B86A69E" w14:textId="2A06AFF1" w:rsidR="008F24E2" w:rsidRPr="00076CF7" w:rsidRDefault="008F24E2" w:rsidP="00076CF7">
      <w:pPr>
        <w:pStyle w:val="bullet"/>
      </w:pPr>
      <w:r w:rsidRPr="00076CF7">
        <w:t>Critically assess the design, sustainability, and equity implications of health financing models—including public, private, and social insurance systems—in both global contexts and the evolving Armenian healthcare system.</w:t>
      </w:r>
    </w:p>
    <w:p w14:paraId="67B2BE4F" w14:textId="77777777" w:rsidR="008F24E2" w:rsidRPr="008F24E2" w:rsidRDefault="008F24E2" w:rsidP="008F24E2">
      <w:pPr>
        <w:spacing w:after="0"/>
        <w:rPr>
          <w:rFonts w:ascii="Sylfaen" w:eastAsia="Calibri" w:hAnsi="Sylfaen" w:cs="Times New Roman"/>
          <w:kern w:val="2"/>
          <w:lang w:val="en-US" w:eastAsia="en-US"/>
        </w:rPr>
      </w:pPr>
    </w:p>
    <w:p w14:paraId="2C91B1C8" w14:textId="77777777" w:rsidR="00076CF7" w:rsidRDefault="00076CF7" w:rsidP="008F24E2">
      <w:pPr>
        <w:spacing w:after="0"/>
        <w:rPr>
          <w:rFonts w:ascii="Sylfaen" w:eastAsia="Calibri" w:hAnsi="Sylfaen" w:cs="Times New Roman"/>
          <w:b/>
          <w:bCs/>
          <w:i/>
          <w:iCs/>
          <w:kern w:val="2"/>
          <w:lang w:val="en-US" w:eastAsia="en-US"/>
        </w:rPr>
      </w:pPr>
    </w:p>
    <w:p w14:paraId="701971C2" w14:textId="77777777" w:rsidR="00076CF7" w:rsidRDefault="00076CF7" w:rsidP="008F24E2">
      <w:pPr>
        <w:spacing w:after="0"/>
        <w:rPr>
          <w:rFonts w:ascii="Sylfaen" w:eastAsia="Calibri" w:hAnsi="Sylfaen" w:cs="Times New Roman"/>
          <w:b/>
          <w:bCs/>
          <w:i/>
          <w:iCs/>
          <w:kern w:val="2"/>
          <w:lang w:val="en-US" w:eastAsia="en-US"/>
        </w:rPr>
      </w:pPr>
    </w:p>
    <w:p w14:paraId="4F3BBE68" w14:textId="6C5E135B"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Syllabus content</w:t>
      </w:r>
    </w:p>
    <w:p w14:paraId="4204703A" w14:textId="1FB82E08" w:rsidR="008F24E2" w:rsidRPr="00076CF7" w:rsidRDefault="008F24E2" w:rsidP="00076CF7">
      <w:pPr>
        <w:pStyle w:val="bullet"/>
      </w:pPr>
      <w:r w:rsidRPr="00076CF7">
        <w:t>Core principles and concepts in health economics: opportunity cost, demand and supply in healthcare, efficiency, and equity, with examples from Armenia’s health sector reforms and policy goals.</w:t>
      </w:r>
    </w:p>
    <w:p w14:paraId="3F522FBF" w14:textId="77CA9F00" w:rsidR="008F24E2" w:rsidRPr="00076CF7" w:rsidRDefault="008F24E2" w:rsidP="00076CF7">
      <w:pPr>
        <w:pStyle w:val="bullet"/>
      </w:pPr>
      <w:r w:rsidRPr="00076CF7">
        <w:t>Economic behavior of healthcare markets: provider incentives, consumer choice, moral hazard, and informal payments, with reference to challenges in the Armenian system.</w:t>
      </w:r>
    </w:p>
    <w:p w14:paraId="4EFE8196" w14:textId="3342C8C0" w:rsidR="008F24E2" w:rsidRPr="00076CF7" w:rsidRDefault="008F24E2" w:rsidP="00076CF7">
      <w:pPr>
        <w:pStyle w:val="bullet"/>
      </w:pPr>
      <w:r w:rsidRPr="00076CF7">
        <w:t>Methods of economic evaluation: cost-effectiveness, cost-utility, cost-benefit, and budget impact analysis, including case studies relevant to Armenian public health programs.</w:t>
      </w:r>
    </w:p>
    <w:p w14:paraId="14BE311C" w14:textId="241C2A12" w:rsidR="008F24E2" w:rsidRPr="00076CF7" w:rsidRDefault="008F24E2" w:rsidP="00076CF7">
      <w:pPr>
        <w:pStyle w:val="bullet"/>
      </w:pPr>
      <w:r w:rsidRPr="00076CF7">
        <w:t>Health care pricing, provider payment systems (including case-based and capitation models), and strategic purchasing mechanisms applied within Armenia’s state-guaranteed healthcare package.</w:t>
      </w:r>
    </w:p>
    <w:p w14:paraId="5F6EBBF0" w14:textId="6786B07B" w:rsidR="008F24E2" w:rsidRPr="00076CF7" w:rsidRDefault="008F24E2" w:rsidP="00076CF7">
      <w:pPr>
        <w:pStyle w:val="bullet"/>
      </w:pPr>
      <w:r w:rsidRPr="00076CF7">
        <w:t>Comparative study of international health financing models (Beveridge, Bismarck, out-of-pocket systems, and public-private partnerships), and their relevance to ongoing financing debates in Armenia.</w:t>
      </w:r>
    </w:p>
    <w:p w14:paraId="362CCBF1" w14:textId="352D4483" w:rsidR="008F24E2" w:rsidRPr="008F24E2" w:rsidRDefault="008F24E2" w:rsidP="00076CF7">
      <w:pPr>
        <w:pStyle w:val="bullet"/>
      </w:pPr>
      <w:r w:rsidRPr="00076CF7">
        <w:t xml:space="preserve">Economic aspects of universal health coverage (UHC), sustainability, and access to care, including analysis of Armenia’s UHC </w:t>
      </w:r>
      <w:r w:rsidRPr="008F24E2">
        <w:t>roadmap and equity implications for vulnerable populations.</w:t>
      </w:r>
    </w:p>
    <w:p w14:paraId="6F98A9A6" w14:textId="77777777" w:rsidR="008F24E2" w:rsidRPr="008F24E2" w:rsidRDefault="008F24E2" w:rsidP="008F24E2">
      <w:pPr>
        <w:spacing w:after="0"/>
        <w:rPr>
          <w:rFonts w:ascii="Sylfaen" w:eastAsia="Calibri" w:hAnsi="Sylfaen" w:cs="Times New Roman"/>
          <w:kern w:val="2"/>
          <w:lang w:val="en-US" w:eastAsia="en-US"/>
        </w:rPr>
      </w:pPr>
    </w:p>
    <w:p w14:paraId="4EB141FC" w14:textId="0BD9F31A"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Reading materials associated with the module.</w:t>
      </w:r>
      <w:r w:rsidRPr="008F24E2">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2665A916" w14:textId="77777777" w:rsidR="008F24E2" w:rsidRPr="00076CF7" w:rsidRDefault="008F24E2" w:rsidP="00076CF7">
      <w:pPr>
        <w:pStyle w:val="bullet"/>
        <w:jc w:val="left"/>
      </w:pPr>
      <w:r w:rsidRPr="00076CF7">
        <w:t xml:space="preserve">Morris, S., Devlin, N., &amp; Parkin, D. 2020, Economic Analysis in Health Care, 3rd </w:t>
      </w:r>
      <w:proofErr w:type="spellStart"/>
      <w:r w:rsidRPr="00076CF7">
        <w:t>edn</w:t>
      </w:r>
      <w:proofErr w:type="spellEnd"/>
      <w:r w:rsidRPr="00076CF7">
        <w:t>, Wiley-Blackwell.</w:t>
      </w:r>
    </w:p>
    <w:p w14:paraId="1BBDDCFE" w14:textId="77777777" w:rsidR="008F24E2" w:rsidRPr="00076CF7" w:rsidRDefault="008F24E2" w:rsidP="00076CF7">
      <w:pPr>
        <w:pStyle w:val="bullet"/>
        <w:jc w:val="left"/>
      </w:pPr>
      <w:r w:rsidRPr="00076CF7">
        <w:t xml:space="preserve">McGuire, T.G., Henderson, J., &amp; Newhouse, J.P. 2011, The Economics of Health and Health Care, 6th </w:t>
      </w:r>
      <w:proofErr w:type="spellStart"/>
      <w:r w:rsidRPr="00076CF7">
        <w:t>edn</w:t>
      </w:r>
      <w:proofErr w:type="spellEnd"/>
      <w:r w:rsidRPr="00076CF7">
        <w:t>, Pearson.</w:t>
      </w:r>
    </w:p>
    <w:p w14:paraId="1E8FA8E7" w14:textId="77777777" w:rsidR="008F24E2" w:rsidRPr="00076CF7" w:rsidRDefault="008F24E2" w:rsidP="00076CF7">
      <w:pPr>
        <w:pStyle w:val="bullet"/>
        <w:jc w:val="left"/>
      </w:pPr>
      <w:r w:rsidRPr="00076CF7">
        <w:t>Ministry of Health, Republic of Armenia. 2021, Health Financing Strategy of the Republic of Armenia (2020–2025). https://moh.am</w:t>
      </w:r>
    </w:p>
    <w:p w14:paraId="66C0ADE3" w14:textId="77777777" w:rsidR="008F24E2" w:rsidRPr="00076CF7" w:rsidRDefault="008F24E2" w:rsidP="00076CF7">
      <w:pPr>
        <w:pStyle w:val="bullet"/>
        <w:jc w:val="left"/>
      </w:pPr>
      <w:r w:rsidRPr="00076CF7">
        <w:t xml:space="preserve">Richardson, E., </w:t>
      </w:r>
      <w:proofErr w:type="spellStart"/>
      <w:r w:rsidRPr="00076CF7">
        <w:t>Berdzuli</w:t>
      </w:r>
      <w:proofErr w:type="spellEnd"/>
      <w:r w:rsidRPr="00076CF7">
        <w:t xml:space="preserve">, N., &amp; Rechel, B. (eds.) 2021, Strengthening Health Systems for Universal Health Coverage and Sustainable Development in Armenia, WHO Regional Office for Europe. https://iris.who.int/bitstream/handle/10665/362322/9789289059107-eng.pdf </w:t>
      </w:r>
    </w:p>
    <w:p w14:paraId="45367B3D" w14:textId="469610A7" w:rsidR="008F24E2" w:rsidRPr="00076CF7" w:rsidRDefault="008F24E2" w:rsidP="00076CF7">
      <w:pPr>
        <w:pStyle w:val="bullet"/>
        <w:jc w:val="left"/>
      </w:pPr>
      <w:r w:rsidRPr="00076CF7">
        <w:t>Jakab, M., Kutzin, J., &amp; Cashin, C. (eds.) 2010, Implementing Health Financing Reform: Lessons from Countries in Transition, WHO Europe. https://www.who.int/publications/i/item/implementing-health-financing-reform-lessons-from-countries-in-transition</w:t>
      </w:r>
    </w:p>
    <w:p w14:paraId="0DD78DB5" w14:textId="77777777" w:rsidR="008F24E2" w:rsidRPr="00076CF7" w:rsidRDefault="008F24E2" w:rsidP="00076CF7">
      <w:pPr>
        <w:pStyle w:val="bullet"/>
        <w:jc w:val="left"/>
      </w:pPr>
      <w:r w:rsidRPr="00076CF7">
        <w:t xml:space="preserve">World Bank. 2022, Armenia Health System Performance Assessment: Strengthening Governance, Financing and Service Delivery for Resilience. https://documents.worldbank.org/en/publication/documents-reports/documentdetail/099110524064012649 </w:t>
      </w:r>
    </w:p>
    <w:p w14:paraId="15C8CA06" w14:textId="77777777" w:rsidR="008F24E2" w:rsidRPr="00076CF7" w:rsidRDefault="008F24E2" w:rsidP="00076CF7">
      <w:pPr>
        <w:pStyle w:val="bullet"/>
        <w:jc w:val="left"/>
      </w:pPr>
      <w:r w:rsidRPr="00076CF7">
        <w:t xml:space="preserve">WHO. 2010, World Health Report: Health Systems Financing – The Path to Universal Coverage. https://iris.who.int/handle/10665/44371 </w:t>
      </w:r>
    </w:p>
    <w:p w14:paraId="01FCA90D" w14:textId="77777777" w:rsidR="008F24E2" w:rsidRPr="008F24E2" w:rsidRDefault="008F24E2" w:rsidP="00076CF7">
      <w:pPr>
        <w:pStyle w:val="bullet"/>
        <w:jc w:val="left"/>
      </w:pPr>
      <w:r w:rsidRPr="00076CF7">
        <w:lastRenderedPageBreak/>
        <w:t>OECD &amp; WHO</w:t>
      </w:r>
      <w:r w:rsidRPr="008F24E2">
        <w:t>. 2018, Health System Review: Armenia, Health Systems in Transition (</w:t>
      </w:r>
      <w:proofErr w:type="spellStart"/>
      <w:r w:rsidRPr="008F24E2">
        <w:t>HiT</w:t>
      </w:r>
      <w:proofErr w:type="spellEnd"/>
      <w:r w:rsidRPr="008F24E2">
        <w:t xml:space="preserve">) series. https://iris.who.int/handle/10665/330304 </w:t>
      </w:r>
    </w:p>
    <w:p w14:paraId="1568522C" w14:textId="77777777" w:rsidR="008F24E2" w:rsidRDefault="008F24E2" w:rsidP="008F24E2">
      <w:pPr>
        <w:spacing w:after="0"/>
        <w:rPr>
          <w:rFonts w:ascii="Sylfaen" w:eastAsia="Calibri" w:hAnsi="Sylfaen" w:cs="Times New Roman"/>
          <w:b/>
          <w:bCs/>
          <w:i/>
          <w:iCs/>
          <w:kern w:val="2"/>
          <w:lang w:val="en-US" w:eastAsia="en-US"/>
        </w:rPr>
      </w:pPr>
    </w:p>
    <w:p w14:paraId="4ECBBA99" w14:textId="42215FE3"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Assessments used</w:t>
      </w:r>
    </w:p>
    <w:p w14:paraId="78C26675"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The summative assessment consists of a paper-based test composed exclusively of close-ended questions, aimed at evaluating students’ understanding and application of health economics and financing principles. The test includes:</w:t>
      </w:r>
    </w:p>
    <w:p w14:paraId="54E17F67" w14:textId="7A93060B" w:rsidR="008F24E2" w:rsidRPr="00076CF7" w:rsidRDefault="008F24E2" w:rsidP="00076CF7">
      <w:pPr>
        <w:pStyle w:val="bullet"/>
      </w:pPr>
      <w:r w:rsidRPr="00076CF7">
        <w:t xml:space="preserve">Multiple-choice questions (MCQs) assess foundational knowledge of economic theories, terminology, healthcare market </w:t>
      </w:r>
      <w:proofErr w:type="spellStart"/>
      <w:r w:rsidRPr="00076CF7">
        <w:t>behaviour</w:t>
      </w:r>
      <w:proofErr w:type="spellEnd"/>
      <w:r w:rsidRPr="00076CF7">
        <w:t>, and financing models.</w:t>
      </w:r>
    </w:p>
    <w:p w14:paraId="69E177A5" w14:textId="6045D359" w:rsidR="008F24E2" w:rsidRPr="00076CF7" w:rsidRDefault="008F24E2" w:rsidP="00076CF7">
      <w:pPr>
        <w:pStyle w:val="bullet"/>
      </w:pPr>
      <w:r w:rsidRPr="00076CF7">
        <w:t>Single-best-answer questions evaluate students’ ability to apply economic reasoning and select the most appropriate economic or policy response to real-world public health financing scenarios.</w:t>
      </w:r>
    </w:p>
    <w:p w14:paraId="09B7DDFF" w14:textId="459B1680" w:rsidR="008F24E2" w:rsidRPr="00076CF7" w:rsidRDefault="008F24E2" w:rsidP="00076CF7">
      <w:pPr>
        <w:pStyle w:val="bullet"/>
      </w:pPr>
      <w:r w:rsidRPr="00076CF7">
        <w:t>Exception-type questions test critical thinking and the ability to distinguish incorrect or inappropriate applications of financing strategies or evaluation criteria within given health system contexts.</w:t>
      </w:r>
    </w:p>
    <w:p w14:paraId="6DCC2613"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To successfully pass, students must correctly answer at least 50% of the test questions.</w:t>
      </w:r>
    </w:p>
    <w:p w14:paraId="056ACA7F" w14:textId="4BDD87B6" w:rsidR="00674EAD"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Formative assessment includes interactive lectures, in-class problem-solving exercises, case discussions on national and international financing models, and peer feedback on applied economic evaluation tasks, all designed to strengthen students’ understanding of core economic principles and their application in health system contexts, including Armenia.</w:t>
      </w:r>
    </w:p>
    <w:p w14:paraId="5041FB34" w14:textId="77777777" w:rsidR="008F24E2" w:rsidRDefault="008F24E2" w:rsidP="001C1482">
      <w:pPr>
        <w:spacing w:after="0"/>
        <w:rPr>
          <w:rFonts w:ascii="Sylfaen" w:eastAsia="Calibri" w:hAnsi="Sylfaen" w:cs="Times New Roman"/>
          <w:b/>
          <w:bCs/>
          <w:i/>
          <w:iCs/>
          <w:color w:val="4F81BD" w:themeColor="accent1"/>
          <w:kern w:val="2"/>
          <w:u w:val="single"/>
          <w:lang w:val="en-US" w:eastAsia="en-US"/>
        </w:rPr>
      </w:pPr>
    </w:p>
    <w:p w14:paraId="7AFFED67" w14:textId="5E251921" w:rsidR="001A3C5B" w:rsidRPr="00916805" w:rsidRDefault="001A3C5B" w:rsidP="001C1482">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Human Resource Management</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0192D37B" w14:textId="25D14660" w:rsidR="001A3C5B" w:rsidRDefault="00286A3C" w:rsidP="002133F8">
      <w:pPr>
        <w:spacing w:after="0"/>
        <w:jc w:val="both"/>
        <w:rPr>
          <w:rFonts w:ascii="Sylfaen" w:eastAsia="Calibri" w:hAnsi="Sylfaen" w:cs="Times New Roman"/>
          <w:kern w:val="2"/>
          <w:lang w:val="en-US" w:eastAsia="en-US"/>
        </w:rPr>
      </w:pPr>
      <w:r w:rsidRPr="00286A3C">
        <w:rPr>
          <w:rFonts w:ascii="Sylfaen" w:eastAsia="Calibri" w:hAnsi="Sylfaen" w:cs="Times New Roman"/>
          <w:kern w:val="2"/>
          <w:lang w:val="en-US" w:eastAsia="en-US"/>
        </w:rPr>
        <w:t>This module provides students with an in-depth understanding of human resource management (HRM) principles, processes, and frameworks as applied to healthcare systems. Students learn to plan, recruit, retain, and develop healthcare staff effectively, while considering workforce distribution, performance management, and motivation strategies within national and decentralized health contexts. The module emphasizes the role of leadership, team dynamics, organizational culture, and labor relations in shaping staff performance and system effectiveness. Through practical examples and case studies, students develop the competence to design and implement HRM interventions that align with institutional goals, enhance workforce productivity, and support ongoing reforms in Armenia’s healthcare system.</w:t>
      </w:r>
    </w:p>
    <w:p w14:paraId="7F617A1D" w14:textId="2D213759"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 xml:space="preserve">Learning competences / objectives </w:t>
      </w:r>
    </w:p>
    <w:p w14:paraId="5996A8A3" w14:textId="70C96DDE" w:rsidR="008F24E2" w:rsidRPr="00076CF7" w:rsidRDefault="008F24E2" w:rsidP="00076CF7">
      <w:pPr>
        <w:pStyle w:val="bullet"/>
      </w:pPr>
      <w:r w:rsidRPr="00076CF7">
        <w:t>Demonstrate critical understanding of the key principles, processes, and frameworks of human resource management (HRM) as applied to healthcare systems, including workforce planning, regulation, and policy development within national health contexts.</w:t>
      </w:r>
    </w:p>
    <w:p w14:paraId="03D06A08" w14:textId="4CD243A7" w:rsidR="008F24E2" w:rsidRPr="00076CF7" w:rsidRDefault="008F24E2" w:rsidP="00076CF7">
      <w:pPr>
        <w:pStyle w:val="bullet"/>
      </w:pPr>
      <w:r w:rsidRPr="00076CF7">
        <w:t>Apply human resource management strategies to address challenges related to recruitment, retention, motivation, and professional development in healthcare organizations, particularly in resource-constrained and decentralized systems.</w:t>
      </w:r>
    </w:p>
    <w:p w14:paraId="6D806F33" w14:textId="433796EA" w:rsidR="008F24E2" w:rsidRPr="00076CF7" w:rsidRDefault="008F24E2" w:rsidP="00076CF7">
      <w:pPr>
        <w:pStyle w:val="bullet"/>
      </w:pPr>
      <w:r w:rsidRPr="00076CF7">
        <w:t>Critically assess the impact of leadership styles, team dynamics, organizational culture, and labor relations on staff performance and overall health system effectiveness.</w:t>
      </w:r>
    </w:p>
    <w:p w14:paraId="7336DD81" w14:textId="35A03BC0" w:rsidR="008F24E2" w:rsidRPr="00076CF7" w:rsidRDefault="008F24E2" w:rsidP="00076CF7">
      <w:pPr>
        <w:pStyle w:val="bullet"/>
      </w:pPr>
      <w:r w:rsidRPr="00076CF7">
        <w:t>Demonstrate the ability to design and implement HRM interventions that align with institutional goals, enhance workforce productivity, and support current reforms in healthcare delivery and public sector performance.</w:t>
      </w:r>
    </w:p>
    <w:p w14:paraId="1ADC7FF2" w14:textId="77777777" w:rsidR="008F24E2" w:rsidRPr="008F24E2" w:rsidRDefault="008F24E2" w:rsidP="008F24E2">
      <w:pPr>
        <w:spacing w:after="0"/>
        <w:rPr>
          <w:rFonts w:ascii="Sylfaen" w:eastAsia="Calibri" w:hAnsi="Sylfaen" w:cs="Times New Roman"/>
          <w:kern w:val="2"/>
          <w:lang w:val="en-US" w:eastAsia="en-US"/>
        </w:rPr>
      </w:pPr>
    </w:p>
    <w:p w14:paraId="182537EA" w14:textId="3E5831F2"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Syllabus content</w:t>
      </w:r>
    </w:p>
    <w:p w14:paraId="66DECD0B" w14:textId="6A4193CF" w:rsidR="008F24E2" w:rsidRPr="00076CF7" w:rsidRDefault="008F24E2" w:rsidP="00076CF7">
      <w:pPr>
        <w:pStyle w:val="bullet"/>
      </w:pPr>
      <w:r w:rsidRPr="00076CF7">
        <w:lastRenderedPageBreak/>
        <w:t>Human resource planning and forecasting: needs assessment, workforce distribution, and staffing strategies, informed by national health workforce policies and regional disparities.</w:t>
      </w:r>
    </w:p>
    <w:p w14:paraId="0C6D1250" w14:textId="493A9D35" w:rsidR="008F24E2" w:rsidRPr="00076CF7" w:rsidRDefault="008F24E2" w:rsidP="00076CF7">
      <w:pPr>
        <w:pStyle w:val="bullet"/>
      </w:pPr>
      <w:r w:rsidRPr="00076CF7">
        <w:t>Recruitment, selection, induction, and orientation processes in healthcare institutions, with consideration of public sector employment procedures.</w:t>
      </w:r>
    </w:p>
    <w:p w14:paraId="4F644F71" w14:textId="48996D25" w:rsidR="008F24E2" w:rsidRPr="00076CF7" w:rsidRDefault="008F24E2" w:rsidP="00076CF7">
      <w:pPr>
        <w:pStyle w:val="bullet"/>
      </w:pPr>
      <w:r w:rsidRPr="00076CF7">
        <w:t>Performance management, staff appraisal systems, and continuous professional development (CPD), including licensing and regulatory frameworks.</w:t>
      </w:r>
    </w:p>
    <w:p w14:paraId="56488DB9" w14:textId="25E02813" w:rsidR="008F24E2" w:rsidRPr="00076CF7" w:rsidRDefault="008F24E2" w:rsidP="00076CF7">
      <w:pPr>
        <w:pStyle w:val="bullet"/>
      </w:pPr>
      <w:r w:rsidRPr="00076CF7">
        <w:t>Motivation theories, staff engagement strategies, and retention policies suited to public healthcare settings.</w:t>
      </w:r>
    </w:p>
    <w:p w14:paraId="3871CCB9" w14:textId="4A19831F" w:rsidR="008F24E2" w:rsidRPr="00076CF7" w:rsidRDefault="008F24E2" w:rsidP="00076CF7">
      <w:pPr>
        <w:pStyle w:val="bullet"/>
      </w:pPr>
      <w:r w:rsidRPr="00076CF7">
        <w:t>Leadership and team management: communication, delegation, conflict resolution, and multidisciplinary collaboration in healthcare environments.</w:t>
      </w:r>
    </w:p>
    <w:p w14:paraId="00C798DF" w14:textId="745085A1" w:rsidR="008F24E2" w:rsidRPr="00076CF7" w:rsidRDefault="008F24E2" w:rsidP="00076CF7">
      <w:pPr>
        <w:pStyle w:val="bullet"/>
      </w:pPr>
      <w:r w:rsidRPr="00076CF7">
        <w:t>Labor laws, employee rights, collective bargaining, and workplace safety regulations relevant to the healthcare workforce.</w:t>
      </w:r>
    </w:p>
    <w:p w14:paraId="04405751" w14:textId="2E7F3C3E" w:rsidR="008F24E2" w:rsidRPr="00076CF7" w:rsidRDefault="008F24E2" w:rsidP="00076CF7">
      <w:pPr>
        <w:pStyle w:val="bullet"/>
      </w:pPr>
      <w:r w:rsidRPr="00076CF7">
        <w:t>Strategic alignment of HRM with organizational mission, service delivery models, and health system goals in the context of ongoing national health sector reforms.</w:t>
      </w:r>
    </w:p>
    <w:p w14:paraId="336269A9" w14:textId="77777777" w:rsidR="008F24E2" w:rsidRPr="008F24E2" w:rsidRDefault="008F24E2" w:rsidP="008F24E2">
      <w:pPr>
        <w:spacing w:after="0"/>
        <w:rPr>
          <w:rFonts w:ascii="Sylfaen" w:eastAsia="Calibri" w:hAnsi="Sylfaen" w:cs="Times New Roman"/>
          <w:kern w:val="2"/>
          <w:lang w:val="en-US" w:eastAsia="en-US"/>
        </w:rPr>
      </w:pPr>
    </w:p>
    <w:p w14:paraId="617C5650" w14:textId="6683CB38"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b/>
          <w:bCs/>
          <w:i/>
          <w:iCs/>
          <w:kern w:val="2"/>
          <w:lang w:val="en-US" w:eastAsia="en-US"/>
        </w:rPr>
        <w:t>Reading materials associated with the module.</w:t>
      </w:r>
      <w:r w:rsidRPr="008F24E2">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23040478" w14:textId="77777777" w:rsidR="008F24E2" w:rsidRPr="00076CF7" w:rsidRDefault="008F24E2" w:rsidP="00076CF7">
      <w:pPr>
        <w:pStyle w:val="bullet"/>
      </w:pPr>
      <w:r w:rsidRPr="00076CF7">
        <w:t xml:space="preserve">Fried, B.J. &amp; </w:t>
      </w:r>
      <w:proofErr w:type="spellStart"/>
      <w:r w:rsidRPr="00076CF7">
        <w:t>Fottler</w:t>
      </w:r>
      <w:proofErr w:type="spellEnd"/>
      <w:r w:rsidRPr="00076CF7">
        <w:t xml:space="preserve">, M.D. 2018, Human Resources in Healthcare: Managing for Success, 5th </w:t>
      </w:r>
      <w:proofErr w:type="spellStart"/>
      <w:r w:rsidRPr="00076CF7">
        <w:t>edn</w:t>
      </w:r>
      <w:proofErr w:type="spellEnd"/>
      <w:r w:rsidRPr="00076CF7">
        <w:t>, Health Administration Press.</w:t>
      </w:r>
    </w:p>
    <w:p w14:paraId="78C8077A" w14:textId="77777777" w:rsidR="008F24E2" w:rsidRPr="00076CF7" w:rsidRDefault="008F24E2" w:rsidP="00076CF7">
      <w:pPr>
        <w:pStyle w:val="bullet"/>
      </w:pPr>
      <w:r w:rsidRPr="00076CF7">
        <w:t xml:space="preserve">Armstrong, M. &amp; Taylor, S. 2023, Armstrong’s Handbook of Human Resource Management Practice, 16th </w:t>
      </w:r>
      <w:proofErr w:type="spellStart"/>
      <w:r w:rsidRPr="00076CF7">
        <w:t>edn</w:t>
      </w:r>
      <w:proofErr w:type="spellEnd"/>
      <w:r w:rsidRPr="00076CF7">
        <w:t>, Kogan Page.</w:t>
      </w:r>
    </w:p>
    <w:p w14:paraId="55890BE0" w14:textId="77777777" w:rsidR="008F24E2" w:rsidRPr="00076CF7" w:rsidRDefault="008F24E2" w:rsidP="00076CF7">
      <w:pPr>
        <w:pStyle w:val="bullet"/>
      </w:pPr>
      <w:r w:rsidRPr="00076CF7">
        <w:t>Ulrich, D. et al. (2009), HR Transformation: Building Human Resources from the Outside In. New York: McGraw-Hill.</w:t>
      </w:r>
    </w:p>
    <w:p w14:paraId="68DD398A" w14:textId="77777777" w:rsidR="008F24E2" w:rsidRPr="00076CF7" w:rsidRDefault="008F24E2" w:rsidP="00076CF7">
      <w:pPr>
        <w:pStyle w:val="bullet"/>
      </w:pPr>
      <w:r w:rsidRPr="00076CF7">
        <w:t>Ministry of Health of Armenia. 2023, National Health Workforce Strategy of Armenia, 2023–2030 https://moh.am</w:t>
      </w:r>
    </w:p>
    <w:p w14:paraId="234D2A4F" w14:textId="77777777" w:rsidR="008F24E2" w:rsidRPr="00076CF7" w:rsidRDefault="008F24E2" w:rsidP="00076CF7">
      <w:pPr>
        <w:pStyle w:val="bullet"/>
      </w:pPr>
      <w:r w:rsidRPr="00076CF7">
        <w:t xml:space="preserve">World Health Organization Regional Office for Europe, &amp; European Observatory on Health Systems and Policies. (2022). Health systems in action: Armenia – 2022 edition. Copenhagen: WHO Regional Office for Europe. https://iris.who.int/bitstream/handle/10665/362322/9789289059107-eng.pdf </w:t>
      </w:r>
    </w:p>
    <w:p w14:paraId="1E67BCA2" w14:textId="77777777" w:rsidR="008F24E2" w:rsidRPr="00076CF7" w:rsidRDefault="008F24E2" w:rsidP="00076CF7">
      <w:pPr>
        <w:pStyle w:val="bullet"/>
      </w:pPr>
      <w:r w:rsidRPr="00076CF7">
        <w:t xml:space="preserve">World Bank. (2022). Armenia — Primary Healthcare Assessment Report: Strengthening Primary Healthcare (English). Washington, DC: World Bank. https://documents.worldbank.org/en/publication/documents-reports/documentdetail/099110524064012649  </w:t>
      </w:r>
    </w:p>
    <w:p w14:paraId="66CB7000" w14:textId="2F10A89C" w:rsidR="00286A3C" w:rsidRPr="00076CF7" w:rsidRDefault="008F24E2" w:rsidP="00076CF7">
      <w:pPr>
        <w:pStyle w:val="bullet"/>
      </w:pPr>
      <w:r w:rsidRPr="00076CF7">
        <w:t>Labor Code of the Republic of Armenia and RA Law on Civil Service and Public Sector Employment Framework (in Armenian)</w:t>
      </w:r>
    </w:p>
    <w:p w14:paraId="50FF7B35" w14:textId="5E7821A9" w:rsidR="008F24E2" w:rsidRPr="008F24E2" w:rsidRDefault="008F24E2" w:rsidP="008F24E2">
      <w:pPr>
        <w:spacing w:after="0"/>
        <w:rPr>
          <w:rFonts w:ascii="Sylfaen" w:eastAsia="Calibri" w:hAnsi="Sylfaen" w:cs="Times New Roman"/>
          <w:b/>
          <w:bCs/>
          <w:i/>
          <w:iCs/>
          <w:kern w:val="2"/>
          <w:lang w:val="en-US" w:eastAsia="en-US"/>
        </w:rPr>
      </w:pPr>
      <w:r w:rsidRPr="008F24E2">
        <w:rPr>
          <w:rFonts w:ascii="Sylfaen" w:eastAsia="Calibri" w:hAnsi="Sylfaen" w:cs="Times New Roman"/>
          <w:b/>
          <w:bCs/>
          <w:i/>
          <w:iCs/>
          <w:kern w:val="2"/>
          <w:lang w:val="en-US" w:eastAsia="en-US"/>
        </w:rPr>
        <w:t>Assessments used</w:t>
      </w:r>
    </w:p>
    <w:p w14:paraId="06530D57" w14:textId="5E287438"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The summative assessment for this module consists of an individual oral presentation. Each student is required to analyze a specific human resource management (HRM) issue within a public health or healthcare setting—such as workforce planning, staff retention, performance appraisal, or training and development—and propose a structured, evidence-based solution or policy recommendation.</w:t>
      </w:r>
    </w:p>
    <w:p w14:paraId="3B337FBF" w14:textId="77777777" w:rsidR="008F24E2"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The presentation is evaluated based on the following criteria:</w:t>
      </w:r>
    </w:p>
    <w:p w14:paraId="41B8A49E" w14:textId="3850D465" w:rsidR="008F24E2" w:rsidRPr="00076CF7" w:rsidRDefault="008F24E2" w:rsidP="00076CF7">
      <w:pPr>
        <w:pStyle w:val="bullet"/>
      </w:pPr>
      <w:r w:rsidRPr="00076CF7">
        <w:t>Demonstrated application of HRM principles, tools, and theoretical models relevant to the chosen issue;</w:t>
      </w:r>
    </w:p>
    <w:p w14:paraId="63902041" w14:textId="076B28D7" w:rsidR="008F24E2" w:rsidRPr="00076CF7" w:rsidRDefault="008F24E2" w:rsidP="00076CF7">
      <w:pPr>
        <w:pStyle w:val="bullet"/>
      </w:pPr>
      <w:r w:rsidRPr="00076CF7">
        <w:lastRenderedPageBreak/>
        <w:t>Depth and clarity of critical analysis, including identification of underlying causes and justification of proposed strategies;</w:t>
      </w:r>
    </w:p>
    <w:p w14:paraId="2B325C2B" w14:textId="77E8ADC2" w:rsidR="008F24E2" w:rsidRPr="00076CF7" w:rsidRDefault="008F24E2" w:rsidP="00076CF7">
      <w:pPr>
        <w:pStyle w:val="bullet"/>
      </w:pPr>
      <w:r w:rsidRPr="00076CF7">
        <w:t>Organization, clarity, and professionalism of the presentation, including use of supporting data or references;</w:t>
      </w:r>
    </w:p>
    <w:p w14:paraId="4606AF71" w14:textId="2BD73B74" w:rsidR="008F24E2" w:rsidRPr="00076CF7" w:rsidRDefault="008F24E2" w:rsidP="00076CF7">
      <w:pPr>
        <w:pStyle w:val="bullet"/>
      </w:pPr>
      <w:r w:rsidRPr="00076CF7">
        <w:t>Responsiveness to questions and feedback, demonstrating reflective thinking and the ability to defend proposed solutions.</w:t>
      </w:r>
    </w:p>
    <w:p w14:paraId="1BC586C9" w14:textId="09856961" w:rsidR="00FF1C13" w:rsidRPr="008F24E2" w:rsidRDefault="008F24E2" w:rsidP="008F24E2">
      <w:pPr>
        <w:spacing w:after="0"/>
        <w:rPr>
          <w:rFonts w:ascii="Sylfaen" w:eastAsia="Calibri" w:hAnsi="Sylfaen" w:cs="Times New Roman"/>
          <w:kern w:val="2"/>
          <w:lang w:val="en-US" w:eastAsia="en-US"/>
        </w:rPr>
      </w:pPr>
      <w:r w:rsidRPr="008F24E2">
        <w:rPr>
          <w:rFonts w:ascii="Sylfaen" w:eastAsia="Calibri" w:hAnsi="Sylfaen" w:cs="Times New Roman"/>
          <w:kern w:val="2"/>
          <w:lang w:val="en-US" w:eastAsia="en-US"/>
        </w:rPr>
        <w:t>Formative assessment includes in-class case-based discussions and guided exercises focused on applying human resource management concepts to real-world health workforce challenges. These preparatory activities are designed to help students develop and refine their analysis, solution design, and presentation skills ahead of the final assessment.</w:t>
      </w:r>
    </w:p>
    <w:p w14:paraId="7F8830D6" w14:textId="77777777" w:rsidR="008F24E2" w:rsidRDefault="008F24E2" w:rsidP="001C1482">
      <w:pPr>
        <w:spacing w:after="0"/>
        <w:rPr>
          <w:rFonts w:ascii="Sylfaen" w:eastAsia="Calibri" w:hAnsi="Sylfaen" w:cs="Times New Roman"/>
          <w:b/>
          <w:bCs/>
          <w:i/>
          <w:iCs/>
          <w:color w:val="4F81BD" w:themeColor="accent1"/>
          <w:kern w:val="2"/>
          <w:u w:val="single"/>
          <w:lang w:val="en-US" w:eastAsia="en-US"/>
        </w:rPr>
      </w:pPr>
    </w:p>
    <w:p w14:paraId="78C7C27D" w14:textId="2DEE1795" w:rsidR="001A3C5B" w:rsidRPr="00916805" w:rsidRDefault="001A3C5B" w:rsidP="001C1482">
      <w:pPr>
        <w:spacing w:after="0"/>
        <w:rPr>
          <w:rFonts w:ascii="Sylfaen" w:eastAsia="Calibri" w:hAnsi="Sylfaen" w:cs="Times New Roman"/>
          <w:b/>
          <w:bCs/>
          <w:i/>
          <w:iCs/>
          <w:color w:val="4F81BD" w:themeColor="accent1"/>
          <w:kern w:val="2"/>
          <w:u w:val="single"/>
          <w:lang w:val="en-US" w:eastAsia="en-US"/>
        </w:rPr>
      </w:pPr>
      <w:r w:rsidRPr="00916805">
        <w:rPr>
          <w:rFonts w:ascii="Sylfaen" w:eastAsia="Calibri" w:hAnsi="Sylfaen" w:cs="Times New Roman"/>
          <w:b/>
          <w:bCs/>
          <w:i/>
          <w:iCs/>
          <w:color w:val="4F81BD" w:themeColor="accent1"/>
          <w:kern w:val="2"/>
          <w:u w:val="single"/>
          <w:lang w:val="en-US" w:eastAsia="en-US"/>
        </w:rPr>
        <w:t xml:space="preserve">Leadership </w:t>
      </w:r>
      <w:r w:rsidR="00E63A5D" w:rsidRPr="00E63A5D">
        <w:rPr>
          <w:rFonts w:ascii="Sylfaen" w:eastAsia="Calibri" w:hAnsi="Sylfaen" w:cs="Times New Roman"/>
          <w:b/>
          <w:bCs/>
          <w:i/>
          <w:iCs/>
          <w:color w:val="4F81BD" w:themeColor="accent1"/>
          <w:kern w:val="2"/>
          <w:u w:val="single"/>
          <w:lang w:val="en-US" w:eastAsia="en-US"/>
        </w:rPr>
        <w:t>(3 credits)</w:t>
      </w:r>
    </w:p>
    <w:p w14:paraId="02D06750" w14:textId="34F65E9C" w:rsidR="001A3C5B" w:rsidRDefault="00286A3C" w:rsidP="002133F8">
      <w:pPr>
        <w:spacing w:after="0"/>
        <w:jc w:val="both"/>
        <w:rPr>
          <w:rFonts w:ascii="Sylfaen" w:eastAsia="Calibri" w:hAnsi="Sylfaen" w:cs="Times New Roman"/>
          <w:kern w:val="2"/>
          <w:lang w:val="en-US" w:eastAsia="en-US"/>
        </w:rPr>
      </w:pPr>
      <w:r w:rsidRPr="00286A3C">
        <w:rPr>
          <w:rFonts w:ascii="Sylfaen" w:eastAsia="Calibri" w:hAnsi="Sylfaen" w:cs="Times New Roman"/>
          <w:kern w:val="2"/>
          <w:lang w:val="en-US" w:eastAsia="en-US"/>
        </w:rPr>
        <w:t>This module equips students with the knowledge and skills required to lead effectively within public health and healthcare systems, with particular reference to Armenia’s evolving health governance and reform context. Students explore core leadership theories and develop competencies in team management, change facilitation, innovation, and stakeholder engagement. The module emphasizes ethical, culturally informed, and emotionally intelligent leadership, applying systems approaches to enhance organizational performance, cross-sector collaboration, and health equity. Practical applications include crisis leadership, resilience-building, and strategic decision-making in resource-constrained, post-conflict, and climate-sensitive health settings.</w:t>
      </w:r>
    </w:p>
    <w:p w14:paraId="5BCBAACA" w14:textId="629FD8CE" w:rsidR="00855B3C" w:rsidRPr="00855B3C" w:rsidRDefault="00855B3C" w:rsidP="00855B3C">
      <w:pPr>
        <w:spacing w:after="0"/>
        <w:rPr>
          <w:rFonts w:ascii="Sylfaen" w:eastAsia="Calibri" w:hAnsi="Sylfaen" w:cs="Times New Roman"/>
          <w:kern w:val="2"/>
          <w:lang w:val="en-US" w:eastAsia="en-US"/>
        </w:rPr>
      </w:pPr>
      <w:r w:rsidRPr="00855B3C">
        <w:rPr>
          <w:rFonts w:ascii="Sylfaen" w:eastAsia="Calibri" w:hAnsi="Sylfaen" w:cs="Times New Roman"/>
          <w:b/>
          <w:bCs/>
          <w:kern w:val="2"/>
          <w:lang w:val="en-US" w:eastAsia="en-US"/>
        </w:rPr>
        <w:t xml:space="preserve">Learning competences / objectives </w:t>
      </w:r>
    </w:p>
    <w:p w14:paraId="2F63F9E0" w14:textId="38E78140" w:rsidR="00855B3C" w:rsidRPr="00076CF7" w:rsidRDefault="00855B3C" w:rsidP="00076CF7">
      <w:pPr>
        <w:pStyle w:val="bullet"/>
      </w:pPr>
      <w:r w:rsidRPr="00076CF7">
        <w:t>Demonstrate understanding of key leadership theories and their application to health system governance, reform, and performance improvement in diverse settings, including Armenia.</w:t>
      </w:r>
    </w:p>
    <w:p w14:paraId="2975CED5" w14:textId="4F9EDAF9" w:rsidR="00855B3C" w:rsidRPr="00076CF7" w:rsidRDefault="00855B3C" w:rsidP="00076CF7">
      <w:pPr>
        <w:pStyle w:val="bullet"/>
      </w:pPr>
      <w:r w:rsidRPr="00076CF7">
        <w:t>Assess leadership styles and competencies for managing teams, driving change, and fostering innovation in public health institutions and government bodies.</w:t>
      </w:r>
    </w:p>
    <w:p w14:paraId="278C8DA8" w14:textId="11932B33" w:rsidR="00855B3C" w:rsidRPr="00076CF7" w:rsidRDefault="00855B3C" w:rsidP="00076CF7">
      <w:pPr>
        <w:pStyle w:val="bullet"/>
      </w:pPr>
      <w:r w:rsidRPr="00076CF7">
        <w:t>Apply effective communication, negotiation, and advocacy strategies in both routine and crisis leadership roles, with attention to Armenia’s evolving health reform landscape.</w:t>
      </w:r>
    </w:p>
    <w:p w14:paraId="56233C6C" w14:textId="628368E3" w:rsidR="00855B3C" w:rsidRPr="00076CF7" w:rsidRDefault="00855B3C" w:rsidP="00076CF7">
      <w:pPr>
        <w:pStyle w:val="bullet"/>
      </w:pPr>
      <w:r w:rsidRPr="00076CF7">
        <w:t>Lead interdisciplinary teams and engage stakeholders to implement public health priorities at national and regional levels.</w:t>
      </w:r>
    </w:p>
    <w:p w14:paraId="20D1E5A3" w14:textId="69493856" w:rsidR="00855B3C" w:rsidRPr="00076CF7" w:rsidRDefault="00855B3C" w:rsidP="00076CF7">
      <w:pPr>
        <w:pStyle w:val="bullet"/>
      </w:pPr>
      <w:r w:rsidRPr="00076CF7">
        <w:t>Integrate emotional intelligence and ethical reflection into leadership practice, recognizing the influence of cultural norms, personal values, and professional accountability in the Armenian health system.</w:t>
      </w:r>
    </w:p>
    <w:p w14:paraId="2F634EFF" w14:textId="6506E9AA" w:rsidR="00855B3C" w:rsidRPr="00076CF7" w:rsidRDefault="00855B3C" w:rsidP="00076CF7">
      <w:pPr>
        <w:pStyle w:val="bullet"/>
      </w:pPr>
      <w:r w:rsidRPr="00076CF7">
        <w:t>Apply systems leadership approaches to address organizational complexity, support cross-sector collaboration, and promote health equity and sustainability.</w:t>
      </w:r>
    </w:p>
    <w:p w14:paraId="0FDA49A2" w14:textId="0B9081D6" w:rsidR="00855B3C" w:rsidRPr="00076CF7" w:rsidRDefault="00855B3C" w:rsidP="00076CF7">
      <w:pPr>
        <w:pStyle w:val="bullet"/>
      </w:pPr>
      <w:r w:rsidRPr="00076CF7">
        <w:t>Demonstrate leadership capacity in resilience-building, crisis response, and climate-related health challenges in Armenia’s post-conflict and resource-constrained settings.</w:t>
      </w:r>
    </w:p>
    <w:p w14:paraId="444779C8" w14:textId="77777777" w:rsidR="00855B3C" w:rsidRPr="00855B3C" w:rsidRDefault="00855B3C" w:rsidP="00855B3C">
      <w:pPr>
        <w:spacing w:after="0"/>
        <w:rPr>
          <w:rFonts w:ascii="Sylfaen" w:eastAsia="Calibri" w:hAnsi="Sylfaen" w:cs="Times New Roman"/>
          <w:kern w:val="2"/>
          <w:lang w:val="en-US" w:eastAsia="en-US"/>
        </w:rPr>
      </w:pPr>
    </w:p>
    <w:p w14:paraId="0517D4C3" w14:textId="569AE1BE" w:rsidR="00855B3C" w:rsidRPr="00855B3C" w:rsidRDefault="00855B3C" w:rsidP="00855B3C">
      <w:pPr>
        <w:spacing w:after="0"/>
        <w:rPr>
          <w:rFonts w:ascii="Sylfaen" w:eastAsia="Calibri" w:hAnsi="Sylfaen" w:cs="Times New Roman"/>
          <w:b/>
          <w:bCs/>
          <w:i/>
          <w:iCs/>
          <w:kern w:val="2"/>
          <w:lang w:val="en-US" w:eastAsia="en-US"/>
        </w:rPr>
      </w:pPr>
      <w:r w:rsidRPr="00855B3C">
        <w:rPr>
          <w:rFonts w:ascii="Sylfaen" w:eastAsia="Calibri" w:hAnsi="Sylfaen" w:cs="Times New Roman"/>
          <w:b/>
          <w:bCs/>
          <w:i/>
          <w:iCs/>
          <w:kern w:val="2"/>
          <w:lang w:val="en-US" w:eastAsia="en-US"/>
        </w:rPr>
        <w:t>Syllabus content</w:t>
      </w:r>
    </w:p>
    <w:p w14:paraId="7E49EDEA" w14:textId="478A28FC" w:rsidR="00855B3C" w:rsidRPr="00076CF7" w:rsidRDefault="00855B3C" w:rsidP="00076CF7">
      <w:pPr>
        <w:pStyle w:val="bullet"/>
      </w:pPr>
      <w:r w:rsidRPr="00076CF7">
        <w:t>Core leadership theories relevant to public health, including transformational, situational, and servant leadership, with application to Armenia’s health governance structures.</w:t>
      </w:r>
    </w:p>
    <w:p w14:paraId="7539293C" w14:textId="00CB2A16" w:rsidR="00855B3C" w:rsidRPr="00076CF7" w:rsidRDefault="00855B3C" w:rsidP="00076CF7">
      <w:pPr>
        <w:pStyle w:val="bullet"/>
      </w:pPr>
      <w:r w:rsidRPr="00076CF7">
        <w:t>Leadership competencies in health system performance, including strategic visioning, evidence-based decision-making, and accountability in public service.</w:t>
      </w:r>
    </w:p>
    <w:p w14:paraId="2CEFCD1F" w14:textId="2856BE99" w:rsidR="00855B3C" w:rsidRPr="00076CF7" w:rsidRDefault="00855B3C" w:rsidP="00076CF7">
      <w:pPr>
        <w:pStyle w:val="bullet"/>
      </w:pPr>
      <w:r w:rsidRPr="00076CF7">
        <w:t>Change management and innovation leadership in public health institutions, focusing on policy reform and system modernization efforts in Armenia.</w:t>
      </w:r>
    </w:p>
    <w:p w14:paraId="069CEE84" w14:textId="0533547B" w:rsidR="00855B3C" w:rsidRPr="00076CF7" w:rsidRDefault="00855B3C" w:rsidP="00076CF7">
      <w:pPr>
        <w:pStyle w:val="bullet"/>
      </w:pPr>
      <w:r w:rsidRPr="00076CF7">
        <w:lastRenderedPageBreak/>
        <w:t>Crisis leadership and resilience-building, with case examples from Armenia’s COVID-19 response, post-conflict recovery, and health system adaptation.</w:t>
      </w:r>
    </w:p>
    <w:p w14:paraId="4D76DFAC" w14:textId="2F43CA3D" w:rsidR="00855B3C" w:rsidRPr="00076CF7" w:rsidRDefault="00855B3C" w:rsidP="00076CF7">
      <w:pPr>
        <w:pStyle w:val="bullet"/>
      </w:pPr>
      <w:r w:rsidRPr="00076CF7">
        <w:t>Emotional intelligence, cultural competence, and ethical leadership practices in managing diverse public health teams and navigating sensitive policy environments.</w:t>
      </w:r>
    </w:p>
    <w:p w14:paraId="646F9948" w14:textId="3DD8049D" w:rsidR="00855B3C" w:rsidRPr="00076CF7" w:rsidRDefault="00855B3C" w:rsidP="00076CF7">
      <w:pPr>
        <w:pStyle w:val="bullet"/>
      </w:pPr>
      <w:r w:rsidRPr="00076CF7">
        <w:t>Systems leadership for promoting cross-sector collaboration, health equity, and sustainable solutions, including planetary health approaches to Armenia’s environmental and climate-related risks.</w:t>
      </w:r>
    </w:p>
    <w:p w14:paraId="28584A28" w14:textId="3DCB5E92" w:rsidR="00855B3C" w:rsidRPr="00076CF7" w:rsidRDefault="00855B3C" w:rsidP="00076CF7">
      <w:pPr>
        <w:pStyle w:val="bullet"/>
      </w:pPr>
      <w:r w:rsidRPr="00076CF7">
        <w:t>Intersectoral and interprofessional collaboration strategies to advance national health priorities, address governance gaps, and support regional development.</w:t>
      </w:r>
    </w:p>
    <w:p w14:paraId="5E21A2B1" w14:textId="77777777" w:rsidR="00855B3C" w:rsidRPr="00855B3C" w:rsidRDefault="00855B3C" w:rsidP="00855B3C">
      <w:pPr>
        <w:spacing w:after="0"/>
        <w:rPr>
          <w:rFonts w:ascii="Sylfaen" w:eastAsia="Calibri" w:hAnsi="Sylfaen" w:cs="Times New Roman"/>
          <w:kern w:val="2"/>
          <w:lang w:val="en-US" w:eastAsia="en-US"/>
        </w:rPr>
      </w:pPr>
    </w:p>
    <w:p w14:paraId="4B6B490D" w14:textId="52C97ACF" w:rsidR="00855B3C" w:rsidRPr="00855B3C" w:rsidRDefault="00855B3C" w:rsidP="00855B3C">
      <w:pPr>
        <w:spacing w:after="0"/>
        <w:rPr>
          <w:rFonts w:ascii="Sylfaen" w:eastAsia="Calibri" w:hAnsi="Sylfaen" w:cs="Times New Roman"/>
          <w:kern w:val="2"/>
          <w:lang w:val="en-US" w:eastAsia="en-US"/>
        </w:rPr>
      </w:pPr>
      <w:r w:rsidRPr="00855B3C">
        <w:rPr>
          <w:rFonts w:ascii="Sylfaen" w:eastAsia="Calibri" w:hAnsi="Sylfaen" w:cs="Times New Roman"/>
          <w:b/>
          <w:bCs/>
          <w:i/>
          <w:iCs/>
          <w:kern w:val="2"/>
          <w:lang w:val="en-US" w:eastAsia="en-US"/>
        </w:rPr>
        <w:t>Reading materials associated with the module</w:t>
      </w:r>
      <w:r w:rsidRPr="00855B3C">
        <w:rPr>
          <w:rFonts w:ascii="Sylfaen" w:eastAsia="Calibri" w:hAnsi="Sylfaen" w:cs="Times New Roman"/>
          <w:kern w:val="2"/>
          <w:lang w:val="en-US" w:eastAsia="en-US"/>
        </w:rPr>
        <w:t>. Note: Course is taught in Armenian. The following international sources are used by faculty to prepare Armenian-language content. Armenian sources are listed with translated titles.</w:t>
      </w:r>
    </w:p>
    <w:p w14:paraId="048A1763" w14:textId="77777777" w:rsidR="00855B3C" w:rsidRPr="00855B3C" w:rsidRDefault="00855B3C" w:rsidP="00076CF7">
      <w:pPr>
        <w:pStyle w:val="bullet"/>
      </w:pPr>
      <w:r w:rsidRPr="00855B3C">
        <w:t xml:space="preserve">Northouse, P.G. 2022, Leadership: Theory and Practice, 9th </w:t>
      </w:r>
      <w:proofErr w:type="spellStart"/>
      <w:r w:rsidRPr="00855B3C">
        <w:t>edn</w:t>
      </w:r>
      <w:proofErr w:type="spellEnd"/>
      <w:r w:rsidRPr="00855B3C">
        <w:t>, SAGE Publications.</w:t>
      </w:r>
    </w:p>
    <w:p w14:paraId="34CAAC85" w14:textId="77777777" w:rsidR="00855B3C" w:rsidRPr="00855B3C" w:rsidRDefault="00855B3C" w:rsidP="00076CF7">
      <w:pPr>
        <w:pStyle w:val="bullet"/>
      </w:pPr>
      <w:r w:rsidRPr="00855B3C">
        <w:t xml:space="preserve">Rowitz, L. 2013, Public Health Leadership: Putting Principles into Practice, 3rd </w:t>
      </w:r>
      <w:proofErr w:type="spellStart"/>
      <w:r w:rsidRPr="00855B3C">
        <w:t>edn</w:t>
      </w:r>
      <w:proofErr w:type="spellEnd"/>
      <w:r w:rsidRPr="00855B3C">
        <w:t>, Jones &amp; Bartlett Learning.</w:t>
      </w:r>
    </w:p>
    <w:p w14:paraId="3A5E5480" w14:textId="77777777" w:rsidR="00855B3C" w:rsidRPr="00855B3C" w:rsidRDefault="00855B3C" w:rsidP="00076CF7">
      <w:pPr>
        <w:pStyle w:val="bullet"/>
      </w:pPr>
      <w:r w:rsidRPr="00855B3C">
        <w:t>Goleman, D., 2011. Leadership: The Power of Emotional Intelligence – Selected Writings, More Than Sound. 117 pp.</w:t>
      </w:r>
    </w:p>
    <w:p w14:paraId="584356D5" w14:textId="77777777" w:rsidR="00855B3C" w:rsidRPr="00855B3C" w:rsidRDefault="00855B3C" w:rsidP="00076CF7">
      <w:pPr>
        <w:pStyle w:val="bullet"/>
      </w:pPr>
      <w:r w:rsidRPr="00855B3C">
        <w:t xml:space="preserve">World Health Organization (WHO), 2007. Towards Better Leadership and Management in Health: Report of an International Consultation, WHO Press. https://iris.who.int/handle/10665/70023 </w:t>
      </w:r>
    </w:p>
    <w:p w14:paraId="4E187FD3" w14:textId="77777777" w:rsidR="00855B3C" w:rsidRPr="00855B3C" w:rsidRDefault="00855B3C" w:rsidP="00076CF7">
      <w:pPr>
        <w:pStyle w:val="bullet"/>
      </w:pPr>
      <w:r w:rsidRPr="00855B3C">
        <w:t>World Health Organization Regional Office for Europe. (2020). Health systems strengthening in the context of Health</w:t>
      </w:r>
      <w:r w:rsidRPr="00855B3C">
        <w:rPr>
          <w:rFonts w:ascii="Times New Roman" w:hAnsi="Times New Roman"/>
        </w:rPr>
        <w:t> </w:t>
      </w:r>
      <w:r w:rsidRPr="00855B3C">
        <w:t>2020: challenges and priorities in the WHO</w:t>
      </w:r>
      <w:r w:rsidRPr="00855B3C">
        <w:rPr>
          <w:rFonts w:ascii="Times New Roman" w:hAnsi="Times New Roman"/>
        </w:rPr>
        <w:t> </w:t>
      </w:r>
      <w:r w:rsidRPr="00855B3C">
        <w:t xml:space="preserve">European Region. Copenhagen: WHO Regional Office for Europe. https://iris.who.int/bitstream/handle/10665/172008/WHO-EURO-2015-6488-46254-66905-eng.pdf </w:t>
      </w:r>
    </w:p>
    <w:p w14:paraId="3C440060" w14:textId="77777777" w:rsidR="00855B3C" w:rsidRPr="00855B3C" w:rsidRDefault="00855B3C" w:rsidP="00076CF7">
      <w:pPr>
        <w:pStyle w:val="bullet"/>
      </w:pPr>
      <w:r w:rsidRPr="00855B3C">
        <w:t>Ministry of Health of the Republic of Armenia, 2021. Health Sector Development Strategy 2021–2026. (in Armenian) https://www.moh.am</w:t>
      </w:r>
    </w:p>
    <w:p w14:paraId="58DC6878" w14:textId="500746BD" w:rsidR="00855B3C" w:rsidRPr="00855B3C" w:rsidRDefault="00855B3C" w:rsidP="00076CF7">
      <w:pPr>
        <w:pStyle w:val="bullet"/>
      </w:pPr>
      <w:r w:rsidRPr="00855B3C">
        <w:t>Ministry of Health of Armenia. Annual Health Sector Performance Reports. (in Armenian)</w:t>
      </w:r>
      <w:r>
        <w:t xml:space="preserve"> </w:t>
      </w:r>
      <w:r w:rsidRPr="00855B3C">
        <w:t>https://www.moh.am</w:t>
      </w:r>
    </w:p>
    <w:p w14:paraId="1F069A06" w14:textId="77777777" w:rsidR="00855B3C" w:rsidRPr="00855B3C" w:rsidRDefault="00855B3C" w:rsidP="00076CF7">
      <w:pPr>
        <w:pStyle w:val="bullet"/>
      </w:pPr>
      <w:r w:rsidRPr="00855B3C">
        <w:t>National Institute of Health (NIH). Leadership and HR Development in Armenian Healthcare (Workshop Materials). (in Armenian) https://www.nih.am</w:t>
      </w:r>
    </w:p>
    <w:p w14:paraId="18A73B6F" w14:textId="77777777" w:rsidR="00855B3C" w:rsidRPr="00855B3C" w:rsidRDefault="00855B3C" w:rsidP="00076CF7">
      <w:pPr>
        <w:pStyle w:val="bullet"/>
      </w:pPr>
      <w:r w:rsidRPr="00855B3C">
        <w:t>Ministry of Health of Armenia (2022). COVID-19 Response Coordination and Leadership Challenges in Health System. https://www.moh.am</w:t>
      </w:r>
    </w:p>
    <w:p w14:paraId="1B85FD25" w14:textId="7A5DBDE6" w:rsidR="00292326" w:rsidRPr="00292326" w:rsidRDefault="00292326" w:rsidP="00292326">
      <w:pPr>
        <w:spacing w:after="0"/>
        <w:rPr>
          <w:rFonts w:ascii="Sylfaen" w:eastAsia="Calibri" w:hAnsi="Sylfaen" w:cs="Times New Roman"/>
          <w:b/>
          <w:bCs/>
          <w:i/>
          <w:iCs/>
          <w:kern w:val="2"/>
          <w:lang w:val="en-US" w:eastAsia="en-US"/>
        </w:rPr>
      </w:pPr>
      <w:r w:rsidRPr="00292326">
        <w:rPr>
          <w:rFonts w:ascii="Sylfaen" w:eastAsia="Calibri" w:hAnsi="Sylfaen" w:cs="Times New Roman"/>
          <w:b/>
          <w:bCs/>
          <w:i/>
          <w:iCs/>
          <w:kern w:val="2"/>
          <w:lang w:val="en-US" w:eastAsia="en-US"/>
        </w:rPr>
        <w:t>Assessments used</w:t>
      </w:r>
    </w:p>
    <w:p w14:paraId="7E4D3D9B" w14:textId="77777777" w:rsidR="00292326" w:rsidRPr="00292326" w:rsidRDefault="00292326" w:rsidP="00292326">
      <w:pPr>
        <w:spacing w:after="0"/>
        <w:rPr>
          <w:rFonts w:ascii="Sylfaen" w:eastAsia="Calibri" w:hAnsi="Sylfaen" w:cs="Times New Roman"/>
          <w:kern w:val="2"/>
          <w:lang w:val="en-US" w:eastAsia="en-US"/>
        </w:rPr>
      </w:pPr>
      <w:r w:rsidRPr="00292326">
        <w:rPr>
          <w:rFonts w:ascii="Sylfaen" w:eastAsia="Calibri" w:hAnsi="Sylfaen" w:cs="Times New Roman"/>
          <w:kern w:val="2"/>
          <w:lang w:val="en-US" w:eastAsia="en-US"/>
        </w:rPr>
        <w:t>The summative assessment for this module consists of a 10–15-minute oral presentation. Students are required to analyze a real or hypothetical leadership challenge within a health system and present an evidence-based leadership response. The presentation must demonstrate integration of relevant leadership theories, stakeholder mapping, and change management approaches. In addition, students are expected to incorporate systems thinking and ethical leadership principles, and to address elements of intersectoral collaboration, crisis preparedness, or resilience-building, particularly in relation to planetary health or national reform priorities in Armenia.</w:t>
      </w:r>
    </w:p>
    <w:p w14:paraId="74415E9A" w14:textId="77777777" w:rsidR="00292326" w:rsidRPr="00292326" w:rsidRDefault="00292326" w:rsidP="00292326">
      <w:pPr>
        <w:spacing w:after="0"/>
        <w:rPr>
          <w:rFonts w:ascii="Sylfaen" w:eastAsia="Calibri" w:hAnsi="Sylfaen" w:cs="Times New Roman"/>
          <w:kern w:val="2"/>
          <w:lang w:val="en-US" w:eastAsia="en-US"/>
        </w:rPr>
      </w:pPr>
      <w:r w:rsidRPr="00292326">
        <w:rPr>
          <w:rFonts w:ascii="Sylfaen" w:eastAsia="Calibri" w:hAnsi="Sylfaen" w:cs="Times New Roman"/>
          <w:kern w:val="2"/>
          <w:lang w:val="en-US" w:eastAsia="en-US"/>
        </w:rPr>
        <w:t>The assessment evaluates the depth of theoretical integration, the student’s ability to apply leadership models critically and contextually, and the effectiveness of stakeholder engagement and communication strategies. Presentations are also assessed on their clarity, structure, and professionalism.</w:t>
      </w:r>
    </w:p>
    <w:p w14:paraId="7276565D" w14:textId="0AD722C6" w:rsidR="00286A3C" w:rsidRPr="00292326" w:rsidRDefault="00292326" w:rsidP="00292326">
      <w:pPr>
        <w:spacing w:after="0"/>
        <w:rPr>
          <w:rFonts w:ascii="Sylfaen" w:eastAsia="Calibri" w:hAnsi="Sylfaen" w:cs="Times New Roman"/>
          <w:kern w:val="2"/>
          <w:lang w:val="en-US" w:eastAsia="en-US"/>
        </w:rPr>
      </w:pPr>
      <w:r w:rsidRPr="00292326">
        <w:rPr>
          <w:rFonts w:ascii="Sylfaen" w:eastAsia="Calibri" w:hAnsi="Sylfaen" w:cs="Times New Roman"/>
          <w:kern w:val="2"/>
          <w:lang w:val="en-US" w:eastAsia="en-US"/>
        </w:rPr>
        <w:lastRenderedPageBreak/>
        <w:t>Formative assessment is delivered through classroom debates, peer-reviewed practice presentations, and leadership role-play simulations. These activities are designed to help students test their ideas, develop practical leadership skills, and receive structured feedback on their proposed solutions to complex public health leadership scenarios.</w:t>
      </w:r>
    </w:p>
    <w:p w14:paraId="467E74C3" w14:textId="77777777" w:rsidR="00855B3C" w:rsidRDefault="00855B3C" w:rsidP="001C1482">
      <w:pPr>
        <w:spacing w:after="0"/>
        <w:rPr>
          <w:rFonts w:ascii="Sylfaen" w:eastAsia="Calibri" w:hAnsi="Sylfaen" w:cs="Times New Roman"/>
          <w:b/>
          <w:bCs/>
          <w:kern w:val="2"/>
          <w:lang w:val="en-US" w:eastAsia="en-US"/>
        </w:rPr>
      </w:pPr>
    </w:p>
    <w:p w14:paraId="7911227E" w14:textId="77777777" w:rsidR="00855B3C" w:rsidRPr="00916805" w:rsidRDefault="00855B3C" w:rsidP="001C1482">
      <w:pPr>
        <w:spacing w:after="0"/>
        <w:rPr>
          <w:rFonts w:ascii="Sylfaen" w:eastAsia="Calibri" w:hAnsi="Sylfaen" w:cs="Times New Roman"/>
          <w:b/>
          <w:bCs/>
          <w:kern w:val="2"/>
          <w:lang w:val="en-US" w:eastAsia="en-US"/>
        </w:rPr>
      </w:pPr>
    </w:p>
    <w:p w14:paraId="13378CC2" w14:textId="750A8745" w:rsidR="00286A3C" w:rsidRDefault="00286A3C" w:rsidP="001C1482">
      <w:pPr>
        <w:spacing w:after="0"/>
        <w:rPr>
          <w:rFonts w:ascii="Sylfaen" w:eastAsia="Calibri" w:hAnsi="Sylfaen" w:cs="Times New Roman"/>
          <w:b/>
          <w:bCs/>
          <w:i/>
          <w:iCs/>
          <w:color w:val="4F81BD" w:themeColor="accent1"/>
          <w:kern w:val="2"/>
          <w:u w:val="single"/>
          <w:lang w:val="en-US" w:eastAsia="en-US"/>
        </w:rPr>
      </w:pPr>
      <w:r w:rsidRPr="00286A3C">
        <w:rPr>
          <w:rFonts w:ascii="Sylfaen" w:eastAsia="Calibri" w:hAnsi="Sylfaen" w:cs="Times New Roman"/>
          <w:b/>
          <w:bCs/>
          <w:i/>
          <w:iCs/>
          <w:color w:val="4F81BD" w:themeColor="accent1"/>
          <w:kern w:val="2"/>
          <w:u w:val="single"/>
          <w:lang w:val="en-US" w:eastAsia="en-US"/>
        </w:rPr>
        <w:t xml:space="preserve">Health Care Quality Management </w:t>
      </w:r>
      <w:r w:rsidR="00E63A5D" w:rsidRPr="00E63A5D">
        <w:rPr>
          <w:rFonts w:ascii="Sylfaen" w:eastAsia="Calibri" w:hAnsi="Sylfaen" w:cs="Times New Roman"/>
          <w:b/>
          <w:bCs/>
          <w:i/>
          <w:iCs/>
          <w:color w:val="4F81BD" w:themeColor="accent1"/>
          <w:kern w:val="2"/>
          <w:u w:val="single"/>
          <w:lang w:val="en-US" w:eastAsia="en-US"/>
        </w:rPr>
        <w:t>(3 credits)</w:t>
      </w:r>
    </w:p>
    <w:p w14:paraId="3A1152A1" w14:textId="4F0E2DCD" w:rsidR="001A3C5B" w:rsidRDefault="00286A3C" w:rsidP="002133F8">
      <w:pPr>
        <w:spacing w:after="0"/>
        <w:jc w:val="both"/>
        <w:rPr>
          <w:rFonts w:ascii="Sylfaen" w:eastAsia="Calibri" w:hAnsi="Sylfaen" w:cs="Times New Roman"/>
          <w:kern w:val="2"/>
          <w:lang w:val="en-US" w:eastAsia="en-US"/>
        </w:rPr>
      </w:pPr>
      <w:r w:rsidRPr="00286A3C">
        <w:rPr>
          <w:rFonts w:ascii="Sylfaen" w:eastAsia="Calibri" w:hAnsi="Sylfaen" w:cs="Times New Roman"/>
          <w:kern w:val="2"/>
          <w:lang w:val="en-US" w:eastAsia="en-US"/>
        </w:rPr>
        <w:t>This module provides students with a comprehensive understanding of healthcare quality principles, frameworks, and methodologies, emphasizing both international standards and Armenia’s national context. Students learn to assess and manage service quality, evaluate accreditation models, and analyze regulatory and compliance requirements. The module equips students to design evidence-informed quality improvement initiatives that enhance patient safety, service effectiveness, and organizational efficiency, taking into account local healthcare delivery structures, resource constraints, and institutional accountability. Practical case studies and exercises illustrate applications in Armenian primary, hospital, and specialized healthcare settings.</w:t>
      </w:r>
    </w:p>
    <w:p w14:paraId="3239A6D4" w14:textId="6A91106C" w:rsidR="004447B0" w:rsidRPr="006A2E75" w:rsidRDefault="004447B0" w:rsidP="004447B0">
      <w:pPr>
        <w:spacing w:after="0"/>
        <w:jc w:val="both"/>
        <w:rPr>
          <w:rFonts w:ascii="Sylfaen" w:eastAsia="Calibri" w:hAnsi="Sylfaen" w:cs="Times New Roman"/>
          <w:b/>
          <w:bCs/>
          <w:i/>
          <w:iCs/>
          <w:kern w:val="2"/>
          <w:lang w:val="en-US" w:eastAsia="en-US"/>
        </w:rPr>
      </w:pPr>
      <w:r w:rsidRPr="006A2E75">
        <w:rPr>
          <w:rFonts w:ascii="Sylfaen" w:eastAsia="Calibri" w:hAnsi="Sylfaen" w:cs="Times New Roman"/>
          <w:b/>
          <w:bCs/>
          <w:i/>
          <w:iCs/>
          <w:kern w:val="2"/>
          <w:lang w:val="en-US" w:eastAsia="en-US"/>
        </w:rPr>
        <w:t xml:space="preserve">Learning competences / objectives </w:t>
      </w:r>
    </w:p>
    <w:p w14:paraId="68C1CEE2" w14:textId="0447A41C" w:rsidR="004447B0" w:rsidRPr="00076CF7" w:rsidRDefault="004447B0" w:rsidP="00076CF7">
      <w:pPr>
        <w:pStyle w:val="bullet"/>
      </w:pPr>
      <w:r w:rsidRPr="00076CF7">
        <w:t>Demonstrate a clear understanding of the core concepts, frameworks, and methodologies used in assessing and managing the quality of healthcare services.</w:t>
      </w:r>
    </w:p>
    <w:p w14:paraId="6E2A92F5" w14:textId="553DBA18" w:rsidR="004447B0" w:rsidRPr="00076CF7" w:rsidRDefault="004447B0" w:rsidP="00076CF7">
      <w:pPr>
        <w:pStyle w:val="bullet"/>
      </w:pPr>
      <w:r w:rsidRPr="00076CF7">
        <w:t>Evaluate quality assurance systems, accreditation models, and the application of clinical and operational performance indicators in both international and national healthcare settings, including Armenia’s evolving quality oversight mechanisms.</w:t>
      </w:r>
    </w:p>
    <w:p w14:paraId="7254BF8E" w14:textId="60CB9C34" w:rsidR="004447B0" w:rsidRPr="00076CF7" w:rsidRDefault="006A2E75" w:rsidP="00076CF7">
      <w:pPr>
        <w:pStyle w:val="bullet"/>
      </w:pPr>
      <w:r w:rsidRPr="00076CF7">
        <w:t>Analyze</w:t>
      </w:r>
      <w:r w:rsidR="004447B0" w:rsidRPr="00076CF7">
        <w:t xml:space="preserve"> regulatory requirements, compliance procedures, and institutional accountability in healthcare systems, with specific reference to Armenian legislation, Ministry of Health guidelines, and licensing and inspection frameworks.</w:t>
      </w:r>
    </w:p>
    <w:p w14:paraId="3845A2D9" w14:textId="5E1AFD38" w:rsidR="004447B0" w:rsidRPr="00076CF7" w:rsidRDefault="004447B0" w:rsidP="00076CF7">
      <w:pPr>
        <w:pStyle w:val="bullet"/>
      </w:pPr>
      <w:r w:rsidRPr="00076CF7">
        <w:t>Design and propose evidence-based quality improvement initiatives that enhance patient safety, service effectiveness, and organizational efficiency, taking into account local healthcare delivery structures and resource constraints.</w:t>
      </w:r>
    </w:p>
    <w:p w14:paraId="628526D6" w14:textId="77777777" w:rsidR="004447B0" w:rsidRPr="004447B0" w:rsidRDefault="004447B0" w:rsidP="004447B0">
      <w:pPr>
        <w:spacing w:after="0"/>
        <w:jc w:val="both"/>
        <w:rPr>
          <w:rFonts w:ascii="Sylfaen" w:eastAsia="Calibri" w:hAnsi="Sylfaen" w:cs="Times New Roman"/>
          <w:kern w:val="2"/>
          <w:lang w:val="en-US" w:eastAsia="en-US"/>
        </w:rPr>
      </w:pPr>
    </w:p>
    <w:p w14:paraId="292FCEF0" w14:textId="1F2645E7" w:rsidR="004447B0" w:rsidRPr="006A2E75" w:rsidRDefault="004447B0" w:rsidP="004447B0">
      <w:pPr>
        <w:spacing w:after="0"/>
        <w:jc w:val="both"/>
        <w:rPr>
          <w:rFonts w:ascii="Sylfaen" w:eastAsia="Calibri" w:hAnsi="Sylfaen" w:cs="Times New Roman"/>
          <w:b/>
          <w:bCs/>
          <w:i/>
          <w:iCs/>
          <w:kern w:val="2"/>
          <w:lang w:val="en-US" w:eastAsia="en-US"/>
        </w:rPr>
      </w:pPr>
      <w:r w:rsidRPr="006A2E75">
        <w:rPr>
          <w:rFonts w:ascii="Sylfaen" w:eastAsia="Calibri" w:hAnsi="Sylfaen" w:cs="Times New Roman"/>
          <w:b/>
          <w:bCs/>
          <w:i/>
          <w:iCs/>
          <w:kern w:val="2"/>
          <w:lang w:val="en-US" w:eastAsia="en-US"/>
        </w:rPr>
        <w:t>Syllabus content</w:t>
      </w:r>
    </w:p>
    <w:p w14:paraId="2A2295F2" w14:textId="02F9A347" w:rsidR="004447B0" w:rsidRPr="00076CF7" w:rsidRDefault="004447B0" w:rsidP="00076CF7">
      <w:pPr>
        <w:pStyle w:val="bullet"/>
      </w:pPr>
      <w:r w:rsidRPr="00076CF7">
        <w:t>Principles and dimensions of healthcare quality: safety, effectiveness, patient-centeredness, timeliness, efficiency, and equity, as defined in WHO and Armenian national health policy frameworks</w:t>
      </w:r>
    </w:p>
    <w:p w14:paraId="0BDF26B4" w14:textId="131CAEEB" w:rsidR="004447B0" w:rsidRPr="00076CF7" w:rsidRDefault="004447B0" w:rsidP="00076CF7">
      <w:pPr>
        <w:pStyle w:val="bullet"/>
      </w:pPr>
      <w:r w:rsidRPr="00076CF7">
        <w:t>Tools and methods for quality assessment: clinical audits, satisfaction surveys, performance benchmarking, and their adaptation in Armenian primary and hospital care settings</w:t>
      </w:r>
    </w:p>
    <w:p w14:paraId="0ADC8D4D" w14:textId="2254C981" w:rsidR="004447B0" w:rsidRPr="00076CF7" w:rsidRDefault="004447B0" w:rsidP="00076CF7">
      <w:pPr>
        <w:pStyle w:val="bullet"/>
      </w:pPr>
      <w:r w:rsidRPr="00076CF7">
        <w:t>National and international accreditation systems: overview of Armenia’s hospital accreditation process and alignment with international models such as JCI and ISO standards</w:t>
      </w:r>
    </w:p>
    <w:p w14:paraId="4A258881" w14:textId="1BB94F64" w:rsidR="004447B0" w:rsidRPr="00076CF7" w:rsidRDefault="004447B0" w:rsidP="00076CF7">
      <w:pPr>
        <w:pStyle w:val="bullet"/>
      </w:pPr>
      <w:r w:rsidRPr="00076CF7">
        <w:t>Quality improvement frameworks: Total Quality Management (TQM), Lean, Six Sigma, and Continuous Quality Improvement (CQI), with examples of pilot initiatives in Armenian healthcare institutions</w:t>
      </w:r>
    </w:p>
    <w:p w14:paraId="1CF2AC49" w14:textId="524BF27F" w:rsidR="004447B0" w:rsidRPr="00076CF7" w:rsidRDefault="004447B0" w:rsidP="00076CF7">
      <w:pPr>
        <w:pStyle w:val="bullet"/>
      </w:pPr>
      <w:r w:rsidRPr="00076CF7">
        <w:t>Patient safety strategies: systems for adverse event reporting, complaint handling, and continuous feedback in the context of Armenia’s National Strategy on Patient Safety and Risk Management</w:t>
      </w:r>
    </w:p>
    <w:p w14:paraId="24C823D2" w14:textId="2B4AAE8E" w:rsidR="004447B0" w:rsidRPr="00076CF7" w:rsidRDefault="004447B0" w:rsidP="00076CF7">
      <w:pPr>
        <w:pStyle w:val="bullet"/>
      </w:pPr>
      <w:r w:rsidRPr="00076CF7">
        <w:t>Use of performance indicators and outcome measurement tools, including those mandated by the Ministry of Health of Armenia for state-funded providers</w:t>
      </w:r>
    </w:p>
    <w:p w14:paraId="2D12E4B7" w14:textId="37F1876F" w:rsidR="004447B0" w:rsidRPr="00076CF7" w:rsidRDefault="004447B0" w:rsidP="00076CF7">
      <w:pPr>
        <w:pStyle w:val="bullet"/>
      </w:pPr>
      <w:r w:rsidRPr="00076CF7">
        <w:t>Designing quality improvement plans: integrating team-based interventions, leadership engagement, and cultural change strategies within Armenia’s public and private healthcare system</w:t>
      </w:r>
    </w:p>
    <w:p w14:paraId="48DD0783" w14:textId="77777777" w:rsidR="004447B0" w:rsidRPr="004447B0" w:rsidRDefault="004447B0" w:rsidP="004447B0">
      <w:pPr>
        <w:spacing w:after="0"/>
        <w:jc w:val="both"/>
        <w:rPr>
          <w:rFonts w:ascii="Sylfaen" w:eastAsia="Calibri" w:hAnsi="Sylfaen" w:cs="Times New Roman"/>
          <w:kern w:val="2"/>
          <w:lang w:val="en-US" w:eastAsia="en-US"/>
        </w:rPr>
      </w:pPr>
    </w:p>
    <w:p w14:paraId="62760DEB" w14:textId="3654A011" w:rsidR="004447B0" w:rsidRPr="004447B0" w:rsidRDefault="006A2E75" w:rsidP="004447B0">
      <w:pPr>
        <w:spacing w:after="0"/>
        <w:jc w:val="both"/>
        <w:rPr>
          <w:rFonts w:ascii="Sylfaen" w:eastAsia="Calibri" w:hAnsi="Sylfaen" w:cs="Times New Roman"/>
          <w:kern w:val="2"/>
          <w:lang w:val="en-US" w:eastAsia="en-US"/>
        </w:rPr>
      </w:pPr>
      <w:r w:rsidRPr="006A2E75">
        <w:rPr>
          <w:rFonts w:ascii="Sylfaen" w:eastAsia="Calibri" w:hAnsi="Sylfaen" w:cs="Times New Roman"/>
          <w:b/>
          <w:bCs/>
          <w:i/>
          <w:iCs/>
          <w:kern w:val="2"/>
          <w:lang w:val="en-US" w:eastAsia="en-US"/>
        </w:rPr>
        <w:t>R</w:t>
      </w:r>
      <w:r w:rsidR="004447B0" w:rsidRPr="006A2E75">
        <w:rPr>
          <w:rFonts w:ascii="Sylfaen" w:eastAsia="Calibri" w:hAnsi="Sylfaen" w:cs="Times New Roman"/>
          <w:b/>
          <w:bCs/>
          <w:i/>
          <w:iCs/>
          <w:kern w:val="2"/>
          <w:lang w:val="en-US" w:eastAsia="en-US"/>
        </w:rPr>
        <w:t>eading materials associated with the module.</w:t>
      </w:r>
      <w:r w:rsidR="004447B0" w:rsidRPr="004447B0">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4CD22C4F" w14:textId="77777777" w:rsidR="004447B0" w:rsidRPr="006A2E75" w:rsidRDefault="004447B0" w:rsidP="00076CF7">
      <w:pPr>
        <w:pStyle w:val="bullet"/>
      </w:pPr>
      <w:r w:rsidRPr="006A2E75">
        <w:t xml:space="preserve">Spath, P. (2018) Introduction to Healthcare Quality Management, 3rd </w:t>
      </w:r>
      <w:proofErr w:type="spellStart"/>
      <w:r w:rsidRPr="006A2E75">
        <w:t>edn</w:t>
      </w:r>
      <w:proofErr w:type="spellEnd"/>
      <w:r w:rsidRPr="006A2E75">
        <w:t>, Health Administration Press.</w:t>
      </w:r>
    </w:p>
    <w:p w14:paraId="6AD9F166" w14:textId="77777777" w:rsidR="004447B0" w:rsidRPr="006A2E75" w:rsidRDefault="004447B0" w:rsidP="00076CF7">
      <w:pPr>
        <w:pStyle w:val="bullet"/>
      </w:pPr>
      <w:r w:rsidRPr="006A2E75">
        <w:t xml:space="preserve">Sollecito, W.A. &amp; Johnson, J.K. (2020) McLaughlin and Kaluzny’s Continuous Quality Improvement in Health Care, 5th </w:t>
      </w:r>
      <w:proofErr w:type="spellStart"/>
      <w:r w:rsidRPr="006A2E75">
        <w:t>edn</w:t>
      </w:r>
      <w:proofErr w:type="spellEnd"/>
      <w:r w:rsidRPr="006A2E75">
        <w:t>, Jones &amp; Bartlett Learning.</w:t>
      </w:r>
    </w:p>
    <w:p w14:paraId="41D41895" w14:textId="77777777" w:rsidR="004447B0" w:rsidRPr="006A2E75" w:rsidRDefault="004447B0" w:rsidP="00076CF7">
      <w:pPr>
        <w:pStyle w:val="bullet"/>
      </w:pPr>
      <w:r w:rsidRPr="006A2E75">
        <w:t xml:space="preserve">Ransom, E.R., Joshi, M.S., Nash, D.B., &amp; Ransom, S.B. (2021) The Healthcare Quality Book: Vision, Strategy, and Tools, 4th </w:t>
      </w:r>
      <w:proofErr w:type="spellStart"/>
      <w:r w:rsidRPr="006A2E75">
        <w:t>edn</w:t>
      </w:r>
      <w:proofErr w:type="spellEnd"/>
      <w:r w:rsidRPr="006A2E75">
        <w:t>, Health Administration Press.</w:t>
      </w:r>
    </w:p>
    <w:p w14:paraId="5EC6372B" w14:textId="77777777" w:rsidR="004447B0" w:rsidRPr="006A2E75" w:rsidRDefault="004447B0" w:rsidP="00076CF7">
      <w:pPr>
        <w:pStyle w:val="bullet"/>
      </w:pPr>
      <w:r w:rsidRPr="006A2E75">
        <w:t>Donabedian, A. (2003) An Introduction to Quality Assurance in Health Care, Oxford University Press.</w:t>
      </w:r>
    </w:p>
    <w:p w14:paraId="17C6D6C6" w14:textId="77777777" w:rsidR="004447B0" w:rsidRPr="006A2E75" w:rsidRDefault="004447B0" w:rsidP="00076CF7">
      <w:pPr>
        <w:pStyle w:val="bullet"/>
      </w:pPr>
      <w:r w:rsidRPr="006A2E75">
        <w:t xml:space="preserve">World Health Organization (WHO). Quality of Care: A Process for Making Strategic Choices in Health Systems, 2006 https://iris.who.int/handle/10665/43470  </w:t>
      </w:r>
    </w:p>
    <w:p w14:paraId="6540EA3E" w14:textId="77777777" w:rsidR="004447B0" w:rsidRPr="006A2E75" w:rsidRDefault="004447B0" w:rsidP="00076CF7">
      <w:pPr>
        <w:pStyle w:val="bullet"/>
      </w:pPr>
      <w:r w:rsidRPr="006A2E75">
        <w:t xml:space="preserve">OECD. (2022) Health Care Quality and Outcomes Indicators. 2022-23 Definitions https://www.oecd.org/content/dam/oecd/en/topics/policy-sub-issues/measuring-health-care-quality/definitions-of-health-care-quality-outcomes.pdf </w:t>
      </w:r>
    </w:p>
    <w:p w14:paraId="4591E1C9" w14:textId="4300185D" w:rsidR="004447B0" w:rsidRPr="006A2E75" w:rsidRDefault="004447B0" w:rsidP="00076CF7">
      <w:pPr>
        <w:pStyle w:val="bullet"/>
      </w:pPr>
      <w:r w:rsidRPr="006A2E75">
        <w:t>Armenian Legislation and Regulations on Quality of Healthcare: A collection of national legal frameworks, standards, and ministerial guidelines governing healthcare quality assurance, accreditation, licensing, patient safety, and service evaluation in Armenia.</w:t>
      </w:r>
    </w:p>
    <w:p w14:paraId="3797B6E0" w14:textId="77777777" w:rsidR="006A2E75" w:rsidRDefault="006A2E75" w:rsidP="006A2E75">
      <w:pPr>
        <w:spacing w:after="0"/>
        <w:jc w:val="both"/>
        <w:rPr>
          <w:rFonts w:ascii="Sylfaen" w:eastAsia="Calibri" w:hAnsi="Sylfaen" w:cs="Times New Roman"/>
          <w:b/>
          <w:bCs/>
          <w:i/>
          <w:iCs/>
          <w:kern w:val="2"/>
          <w:lang w:val="en-US" w:eastAsia="en-US"/>
        </w:rPr>
      </w:pPr>
    </w:p>
    <w:p w14:paraId="406F6FC1" w14:textId="38F20432" w:rsidR="006A2E75" w:rsidRPr="006A2E75" w:rsidRDefault="006A2E75" w:rsidP="006A2E75">
      <w:pPr>
        <w:spacing w:after="0"/>
        <w:jc w:val="both"/>
        <w:rPr>
          <w:rFonts w:ascii="Sylfaen" w:eastAsia="Calibri" w:hAnsi="Sylfaen" w:cs="Times New Roman"/>
          <w:b/>
          <w:bCs/>
          <w:i/>
          <w:iCs/>
          <w:kern w:val="2"/>
          <w:lang w:val="en-US" w:eastAsia="en-US"/>
        </w:rPr>
      </w:pPr>
      <w:r w:rsidRPr="006A2E75">
        <w:rPr>
          <w:rFonts w:ascii="Sylfaen" w:eastAsia="Calibri" w:hAnsi="Sylfaen" w:cs="Times New Roman"/>
          <w:b/>
          <w:bCs/>
          <w:i/>
          <w:iCs/>
          <w:kern w:val="2"/>
          <w:lang w:val="en-US" w:eastAsia="en-US"/>
        </w:rPr>
        <w:t>Assessments used</w:t>
      </w:r>
    </w:p>
    <w:p w14:paraId="0E1F2000" w14:textId="77777777" w:rsidR="006A2E75" w:rsidRPr="006A2E75" w:rsidRDefault="006A2E75" w:rsidP="006A2E75">
      <w:pPr>
        <w:spacing w:after="0"/>
        <w:jc w:val="both"/>
        <w:rPr>
          <w:rFonts w:ascii="Sylfaen" w:eastAsia="Calibri" w:hAnsi="Sylfaen" w:cs="Times New Roman"/>
          <w:kern w:val="2"/>
          <w:lang w:val="en-US" w:eastAsia="en-US"/>
        </w:rPr>
      </w:pPr>
      <w:r w:rsidRPr="006A2E75">
        <w:rPr>
          <w:rFonts w:ascii="Sylfaen" w:eastAsia="Calibri" w:hAnsi="Sylfaen" w:cs="Times New Roman"/>
          <w:kern w:val="2"/>
          <w:lang w:val="en-US" w:eastAsia="en-US"/>
        </w:rPr>
        <w:t>The summative assessment for this module consists of a computer-based test (CBT) composed exclusively of close-ended questions designed to assess students’ theoretical knowledge and applied understanding of healthcare quality management. The test includes:</w:t>
      </w:r>
    </w:p>
    <w:p w14:paraId="5B1B4E28" w14:textId="2E32205A" w:rsidR="006A2E75" w:rsidRPr="00076CF7" w:rsidRDefault="006A2E75" w:rsidP="00076CF7">
      <w:pPr>
        <w:pStyle w:val="bullet"/>
      </w:pPr>
      <w:r w:rsidRPr="00076CF7">
        <w:t>Multiple-choice questions (MCQs) evaluating knowledge of quality frameworks, patient safety principles, and measurement tools;</w:t>
      </w:r>
    </w:p>
    <w:p w14:paraId="41922A2D" w14:textId="24F5D38E" w:rsidR="006A2E75" w:rsidRPr="00076CF7" w:rsidRDefault="006A2E75" w:rsidP="00076CF7">
      <w:pPr>
        <w:pStyle w:val="bullet"/>
      </w:pPr>
      <w:r w:rsidRPr="00076CF7">
        <w:t>Single-best-answer questions, requiring students to identify the most appropriate quality strategy or accreditation standard in a given healthcare context;</w:t>
      </w:r>
    </w:p>
    <w:p w14:paraId="1F68CB6E" w14:textId="29E46FC9" w:rsidR="006A2E75" w:rsidRPr="00076CF7" w:rsidRDefault="006A2E75" w:rsidP="00076CF7">
      <w:pPr>
        <w:pStyle w:val="bullet"/>
      </w:pPr>
      <w:r w:rsidRPr="00076CF7">
        <w:t>Exception-type questions, where students are asked to select the option that does not apply within a specific quality management or regulatory scenario.</w:t>
      </w:r>
    </w:p>
    <w:p w14:paraId="1250EE97" w14:textId="77777777" w:rsidR="006A2E75" w:rsidRPr="006A2E75" w:rsidRDefault="006A2E75" w:rsidP="006A2E75">
      <w:pPr>
        <w:spacing w:after="0"/>
        <w:jc w:val="both"/>
        <w:rPr>
          <w:rFonts w:ascii="Sylfaen" w:eastAsia="Calibri" w:hAnsi="Sylfaen" w:cs="Times New Roman"/>
          <w:kern w:val="2"/>
          <w:lang w:val="en-US" w:eastAsia="en-US"/>
        </w:rPr>
      </w:pPr>
      <w:r w:rsidRPr="006A2E75">
        <w:rPr>
          <w:rFonts w:ascii="Sylfaen" w:eastAsia="Calibri" w:hAnsi="Sylfaen" w:cs="Times New Roman"/>
          <w:kern w:val="2"/>
          <w:lang w:val="en-US" w:eastAsia="en-US"/>
        </w:rPr>
        <w:t>Assessment will evaluate the student’s understanding of healthcare quality concepts, ability to assess and apply quality tools, and readiness to design safety-focused improvement initiatives. To successfully complete the module, students must achieve a score of more than 50% correct responses.</w:t>
      </w:r>
    </w:p>
    <w:p w14:paraId="0F14EA02" w14:textId="45DDD01A" w:rsidR="004447B0" w:rsidRDefault="006A2E75" w:rsidP="006A2E75">
      <w:pPr>
        <w:spacing w:after="0"/>
        <w:jc w:val="both"/>
        <w:rPr>
          <w:rFonts w:ascii="Sylfaen" w:eastAsia="Calibri" w:hAnsi="Sylfaen" w:cs="Times New Roman"/>
          <w:kern w:val="2"/>
          <w:lang w:val="en-US" w:eastAsia="en-US"/>
        </w:rPr>
      </w:pPr>
      <w:r w:rsidRPr="006A2E75">
        <w:rPr>
          <w:rFonts w:ascii="Sylfaen" w:eastAsia="Calibri" w:hAnsi="Sylfaen" w:cs="Times New Roman"/>
          <w:kern w:val="2"/>
          <w:lang w:val="en-US" w:eastAsia="en-US"/>
        </w:rPr>
        <w:t>Formative assessment includes structured in-class discussions, guided exercises, peer feedback sessions, and practice assignments focused on applying quality assessment tools and improvement frameworks to both international models and the Armenian healthcare context.</w:t>
      </w:r>
    </w:p>
    <w:p w14:paraId="526121C6" w14:textId="77777777" w:rsidR="00286A3C" w:rsidRPr="00916805" w:rsidRDefault="00286A3C" w:rsidP="001C1482">
      <w:pPr>
        <w:spacing w:after="0"/>
        <w:rPr>
          <w:rFonts w:ascii="Sylfaen" w:eastAsia="Calibri" w:hAnsi="Sylfaen" w:cs="Times New Roman"/>
          <w:b/>
          <w:bCs/>
          <w:kern w:val="2"/>
          <w:lang w:val="en-US" w:eastAsia="en-US"/>
        </w:rPr>
      </w:pPr>
    </w:p>
    <w:p w14:paraId="44C7716D" w14:textId="31AF364C" w:rsidR="00286A3C" w:rsidRDefault="00286A3C" w:rsidP="001C1482">
      <w:pPr>
        <w:spacing w:after="0"/>
        <w:rPr>
          <w:rFonts w:ascii="Sylfaen" w:eastAsia="Calibri" w:hAnsi="Sylfaen" w:cs="Times New Roman"/>
          <w:b/>
          <w:bCs/>
          <w:i/>
          <w:iCs/>
          <w:color w:val="4F81BD" w:themeColor="accent1"/>
          <w:kern w:val="2"/>
          <w:u w:val="single"/>
          <w:lang w:val="en-US" w:eastAsia="en-US"/>
        </w:rPr>
      </w:pPr>
      <w:r w:rsidRPr="00286A3C">
        <w:rPr>
          <w:rFonts w:ascii="Sylfaen" w:eastAsia="Calibri" w:hAnsi="Sylfaen" w:cs="Times New Roman"/>
          <w:b/>
          <w:bCs/>
          <w:i/>
          <w:iCs/>
          <w:color w:val="4F81BD" w:themeColor="accent1"/>
          <w:kern w:val="2"/>
          <w:u w:val="single"/>
          <w:lang w:val="en-US" w:eastAsia="en-US"/>
        </w:rPr>
        <w:t xml:space="preserve">Hospital Administration </w:t>
      </w:r>
      <w:r w:rsidR="00E63A5D" w:rsidRPr="00E63A5D">
        <w:rPr>
          <w:rFonts w:ascii="Sylfaen" w:eastAsia="Calibri" w:hAnsi="Sylfaen" w:cs="Times New Roman"/>
          <w:b/>
          <w:bCs/>
          <w:i/>
          <w:iCs/>
          <w:color w:val="4F81BD" w:themeColor="accent1"/>
          <w:kern w:val="2"/>
          <w:u w:val="single"/>
          <w:lang w:val="en-US" w:eastAsia="en-US"/>
        </w:rPr>
        <w:t>(3 credits)</w:t>
      </w:r>
    </w:p>
    <w:p w14:paraId="16768518" w14:textId="45F7319A" w:rsidR="001A3C5B" w:rsidRDefault="00286A3C" w:rsidP="002133F8">
      <w:pPr>
        <w:spacing w:after="0"/>
        <w:jc w:val="both"/>
        <w:rPr>
          <w:rFonts w:ascii="Sylfaen" w:eastAsia="Calibri" w:hAnsi="Sylfaen" w:cs="Times New Roman"/>
          <w:kern w:val="2"/>
          <w:lang w:val="en-US" w:eastAsia="en-US"/>
        </w:rPr>
      </w:pPr>
      <w:r w:rsidRPr="00286A3C">
        <w:rPr>
          <w:rFonts w:ascii="Sylfaen" w:eastAsia="Calibri" w:hAnsi="Sylfaen" w:cs="Times New Roman"/>
          <w:kern w:val="2"/>
          <w:lang w:val="en-US" w:eastAsia="en-US"/>
        </w:rPr>
        <w:t xml:space="preserve">This module provides students with a comprehensive understanding of hospital administration, governance, and service delivery systems, with particular focus on the Armenian health system. Students explore core management principles—including budgeting, human resource management, procurement, and logistics—and apply them to the operation of inpatient and outpatient services within national frameworks such as Armenia’s Basic Benefit Package. The module emphasizes hospital performance evaluation through quality assurance, accreditation, and patient-centered safety protocols, while integrating legal, ethical, and </w:t>
      </w:r>
      <w:r w:rsidRPr="00286A3C">
        <w:rPr>
          <w:rFonts w:ascii="Sylfaen" w:eastAsia="Calibri" w:hAnsi="Sylfaen" w:cs="Times New Roman"/>
          <w:kern w:val="2"/>
          <w:lang w:val="en-US" w:eastAsia="en-US"/>
        </w:rPr>
        <w:lastRenderedPageBreak/>
        <w:t>accountability considerations. Students also examine the role of hospitals in ensuring continuity of care, equity, and emergency preparedness</w:t>
      </w:r>
      <w:r>
        <w:rPr>
          <w:rFonts w:ascii="Sylfaen" w:eastAsia="Calibri" w:hAnsi="Sylfaen" w:cs="Times New Roman"/>
          <w:kern w:val="2"/>
          <w:lang w:val="en-US" w:eastAsia="en-US"/>
        </w:rPr>
        <w:t>.</w:t>
      </w:r>
    </w:p>
    <w:p w14:paraId="21B002EB" w14:textId="45B116D6" w:rsidR="00154EAA" w:rsidRPr="00154EAA" w:rsidRDefault="00154EAA" w:rsidP="00154EAA">
      <w:pPr>
        <w:spacing w:after="0"/>
        <w:jc w:val="both"/>
        <w:rPr>
          <w:rFonts w:ascii="Sylfaen" w:eastAsia="Calibri" w:hAnsi="Sylfaen" w:cs="Times New Roman"/>
          <w:kern w:val="2"/>
          <w:lang w:val="en-US" w:eastAsia="en-US"/>
        </w:rPr>
      </w:pPr>
      <w:r w:rsidRPr="00154EAA">
        <w:rPr>
          <w:rFonts w:ascii="Sylfaen" w:eastAsia="Calibri" w:hAnsi="Sylfaen" w:cs="Times New Roman"/>
          <w:b/>
          <w:bCs/>
          <w:i/>
          <w:iCs/>
          <w:kern w:val="2"/>
          <w:lang w:val="en-US" w:eastAsia="en-US"/>
        </w:rPr>
        <w:t>Learning competences / objectives</w:t>
      </w:r>
      <w:r w:rsidRPr="00154EAA">
        <w:rPr>
          <w:rFonts w:ascii="Sylfaen" w:eastAsia="Calibri" w:hAnsi="Sylfaen" w:cs="Times New Roman"/>
          <w:kern w:val="2"/>
          <w:lang w:val="en-US" w:eastAsia="en-US"/>
        </w:rPr>
        <w:t xml:space="preserve"> </w:t>
      </w:r>
    </w:p>
    <w:p w14:paraId="786CBD92" w14:textId="3FF518B9" w:rsidR="00154EAA" w:rsidRPr="00076CF7" w:rsidRDefault="00154EAA" w:rsidP="00076CF7">
      <w:pPr>
        <w:pStyle w:val="bullet"/>
      </w:pPr>
      <w:r w:rsidRPr="00076CF7">
        <w:t>Demonstrate critical understanding of hospital administrative structures, governance models, and service delivery systems across diverse healthcare settings, with specific attention to the Armenian health system and its integration into national health planning.</w:t>
      </w:r>
    </w:p>
    <w:p w14:paraId="7EB17FD3" w14:textId="1CBCF174" w:rsidR="00154EAA" w:rsidRPr="00076CF7" w:rsidRDefault="00154EAA" w:rsidP="00076CF7">
      <w:pPr>
        <w:pStyle w:val="bullet"/>
      </w:pPr>
      <w:r w:rsidRPr="00076CF7">
        <w:t>Apply core management principles—including budgeting, human resource management, procurement, and logistics—to the operation of inpatient and outpatient hospital services, using national frameworks such as Armenia’s Basic Benefit Package and audit mechanisms.</w:t>
      </w:r>
    </w:p>
    <w:p w14:paraId="7A81B02B" w14:textId="0C334949" w:rsidR="00154EAA" w:rsidRPr="00076CF7" w:rsidRDefault="00154EAA" w:rsidP="00076CF7">
      <w:pPr>
        <w:pStyle w:val="bullet"/>
      </w:pPr>
      <w:r w:rsidRPr="00076CF7">
        <w:t>Analyze the role of hospital administrators in ensuring institutional accountability, legal compliance, and ethical management across public and private sectors.</w:t>
      </w:r>
    </w:p>
    <w:p w14:paraId="5C505ED3" w14:textId="6369EA07" w:rsidR="00154EAA" w:rsidRPr="00076CF7" w:rsidRDefault="00154EAA" w:rsidP="00076CF7">
      <w:pPr>
        <w:pStyle w:val="bullet"/>
      </w:pPr>
      <w:r w:rsidRPr="00076CF7">
        <w:t>Evaluate hospital performance through quality assurance mechanisms, accreditation standards, and patient-centered safety protocols, referencing both international benchmarks and Armenian Ministry of Health evaluation tools.</w:t>
      </w:r>
    </w:p>
    <w:p w14:paraId="1252B293" w14:textId="6EB4977F" w:rsidR="00154EAA" w:rsidRPr="00076CF7" w:rsidRDefault="00154EAA" w:rsidP="00076CF7">
      <w:pPr>
        <w:pStyle w:val="bullet"/>
      </w:pPr>
      <w:r w:rsidRPr="00076CF7">
        <w:t>Demonstrate critical insight into how hospital operations contribute to continuity of care, referral systems, and service equity, particularly in relation to primary healthcare integration and underserved populations.</w:t>
      </w:r>
    </w:p>
    <w:p w14:paraId="099976CA" w14:textId="6CDD463E" w:rsidR="00154EAA" w:rsidRPr="00076CF7" w:rsidRDefault="00154EAA" w:rsidP="00076CF7">
      <w:pPr>
        <w:pStyle w:val="bullet"/>
      </w:pPr>
      <w:r w:rsidRPr="00076CF7">
        <w:t>Assess disaster preparedness and continuity of operations planning (COOP) at the hospital level, with reference to Armenian case studies from the 1988 Spitak earthquake, COVID-19 response, and recent health sector reforms.</w:t>
      </w:r>
    </w:p>
    <w:p w14:paraId="5F6EDE80" w14:textId="77777777" w:rsidR="00154EAA" w:rsidRPr="00154EAA" w:rsidRDefault="00154EAA" w:rsidP="00154EAA">
      <w:pPr>
        <w:spacing w:after="0"/>
        <w:jc w:val="both"/>
        <w:rPr>
          <w:rFonts w:ascii="Sylfaen" w:eastAsia="Calibri" w:hAnsi="Sylfaen" w:cs="Times New Roman"/>
          <w:kern w:val="2"/>
          <w:lang w:val="en-US" w:eastAsia="en-US"/>
        </w:rPr>
      </w:pPr>
    </w:p>
    <w:p w14:paraId="3B5ABA67" w14:textId="3003E3A6" w:rsidR="00154EAA" w:rsidRPr="00154EAA" w:rsidRDefault="00154EAA" w:rsidP="00154EAA">
      <w:pPr>
        <w:spacing w:after="0"/>
        <w:jc w:val="both"/>
        <w:rPr>
          <w:rFonts w:ascii="Sylfaen" w:eastAsia="Calibri" w:hAnsi="Sylfaen" w:cs="Times New Roman"/>
          <w:b/>
          <w:bCs/>
          <w:i/>
          <w:iCs/>
          <w:kern w:val="2"/>
          <w:lang w:val="en-US" w:eastAsia="en-US"/>
        </w:rPr>
      </w:pPr>
      <w:r w:rsidRPr="00154EAA">
        <w:rPr>
          <w:rFonts w:ascii="Sylfaen" w:eastAsia="Calibri" w:hAnsi="Sylfaen" w:cs="Times New Roman"/>
          <w:b/>
          <w:bCs/>
          <w:i/>
          <w:iCs/>
          <w:kern w:val="2"/>
          <w:lang w:val="en-US" w:eastAsia="en-US"/>
        </w:rPr>
        <w:t>Syllabus content</w:t>
      </w:r>
    </w:p>
    <w:p w14:paraId="22ADDC75" w14:textId="272F762E" w:rsidR="00154EAA" w:rsidRPr="00076CF7" w:rsidRDefault="00154EAA" w:rsidP="00076CF7">
      <w:pPr>
        <w:pStyle w:val="bullet"/>
      </w:pPr>
      <w:r w:rsidRPr="00076CF7">
        <w:t>Governance models and organizational structures in hospitals, including Armenian examples (state-funded vs. private institutions, decentralization trends)</w:t>
      </w:r>
    </w:p>
    <w:p w14:paraId="02EF4295" w14:textId="02C4E53D" w:rsidR="00154EAA" w:rsidRPr="00076CF7" w:rsidRDefault="00154EAA" w:rsidP="00076CF7">
      <w:pPr>
        <w:pStyle w:val="bullet"/>
      </w:pPr>
      <w:r w:rsidRPr="00076CF7">
        <w:t>Hospital budgeting, financial control, and resource efficiency, with special attention to Armenia’s Basic Benefit Package, DRG-based financing pilots, and public accountability standards</w:t>
      </w:r>
    </w:p>
    <w:p w14:paraId="2FDA0BF2" w14:textId="03AF86B4" w:rsidR="00154EAA" w:rsidRPr="00076CF7" w:rsidRDefault="00154EAA" w:rsidP="00076CF7">
      <w:pPr>
        <w:pStyle w:val="bullet"/>
      </w:pPr>
      <w:r w:rsidRPr="00076CF7">
        <w:t>Hospital-based human resource management: recruitment, scheduling, retention, staff development, and sector-specific HR constraints in Armenia</w:t>
      </w:r>
    </w:p>
    <w:p w14:paraId="5B091722" w14:textId="5FCD9364" w:rsidR="00154EAA" w:rsidRPr="00076CF7" w:rsidRDefault="00154EAA" w:rsidP="00076CF7">
      <w:pPr>
        <w:pStyle w:val="bullet"/>
      </w:pPr>
      <w:r w:rsidRPr="00076CF7">
        <w:t>Procurement and logistics systems: infrastructure planning, inventory control, vendor relations, emergency stockpiling</w:t>
      </w:r>
    </w:p>
    <w:p w14:paraId="06C96A7E" w14:textId="5203E2D6" w:rsidR="00154EAA" w:rsidRPr="00076CF7" w:rsidRDefault="00154EAA" w:rsidP="00076CF7">
      <w:pPr>
        <w:pStyle w:val="bullet"/>
      </w:pPr>
      <w:r w:rsidRPr="00076CF7">
        <w:t>Legal and ethical responsibilities of hospital administrators under national and international frameworks, including MOH licensing and compliance systems</w:t>
      </w:r>
    </w:p>
    <w:p w14:paraId="78070FE7" w14:textId="06044A93" w:rsidR="00154EAA" w:rsidRPr="00076CF7" w:rsidRDefault="00154EAA" w:rsidP="00076CF7">
      <w:pPr>
        <w:pStyle w:val="bullet"/>
      </w:pPr>
      <w:r w:rsidRPr="00076CF7">
        <w:t>Hospital quality assurance systems: internal audits, accreditation, patient satisfaction, and risk management protocols</w:t>
      </w:r>
    </w:p>
    <w:p w14:paraId="41FA1099" w14:textId="4AEEB009" w:rsidR="00154EAA" w:rsidRPr="00076CF7" w:rsidRDefault="00154EAA" w:rsidP="00076CF7">
      <w:pPr>
        <w:pStyle w:val="bullet"/>
      </w:pPr>
      <w:r w:rsidRPr="00076CF7">
        <w:t>Monitoring and evaluation of hospital performance using national and international indicators (e.g., MOH performance dashboard, WHO metrics)</w:t>
      </w:r>
    </w:p>
    <w:p w14:paraId="315B84D7" w14:textId="6AAF0B26" w:rsidR="00154EAA" w:rsidRPr="00076CF7" w:rsidRDefault="00154EAA" w:rsidP="00076CF7">
      <w:pPr>
        <w:pStyle w:val="bullet"/>
      </w:pPr>
      <w:r w:rsidRPr="00076CF7">
        <w:t>Hospital’s role in integrated service delivery: coordination with PHC, referrals, discharge planning, and population-based service planning</w:t>
      </w:r>
    </w:p>
    <w:p w14:paraId="1F03FBFB" w14:textId="645A93F5" w:rsidR="00154EAA" w:rsidRPr="00076CF7" w:rsidRDefault="00154EAA" w:rsidP="00076CF7">
      <w:pPr>
        <w:pStyle w:val="bullet"/>
      </w:pPr>
      <w:r w:rsidRPr="00076CF7">
        <w:t>Ensuring equity and access to hospital services in rural, underserved, and vulnerable populations through policy levers and system redesign</w:t>
      </w:r>
    </w:p>
    <w:p w14:paraId="76E697C9" w14:textId="27E10A30" w:rsidR="00154EAA" w:rsidRPr="00076CF7" w:rsidRDefault="00154EAA" w:rsidP="00076CF7">
      <w:pPr>
        <w:pStyle w:val="bullet"/>
      </w:pPr>
      <w:r w:rsidRPr="00076CF7">
        <w:t>Hospital disaster preparedness and crisis leadership: surge capacity, multi-agency coordination, and health security planning</w:t>
      </w:r>
    </w:p>
    <w:p w14:paraId="0759DE6D" w14:textId="3AEDB99A" w:rsidR="00154EAA" w:rsidRPr="00076CF7" w:rsidRDefault="00154EAA" w:rsidP="00076CF7">
      <w:pPr>
        <w:pStyle w:val="bullet"/>
      </w:pPr>
      <w:r w:rsidRPr="00076CF7">
        <w:lastRenderedPageBreak/>
        <w:t>Continuity of Operations Planning (COOP): maintaining critical services during emergencies, based on COVID-19 and earthquake response models</w:t>
      </w:r>
    </w:p>
    <w:p w14:paraId="1DB6BE5C" w14:textId="006992FF" w:rsidR="00154EAA" w:rsidRPr="00076CF7" w:rsidRDefault="00154EAA" w:rsidP="00076CF7">
      <w:pPr>
        <w:pStyle w:val="bullet"/>
      </w:pPr>
      <w:r w:rsidRPr="00076CF7">
        <w:t>Armenian case studies on hospital adaptation and resilience during the 1988 earthquake, COVID-19 pandemic, and post-crisis system reforms.</w:t>
      </w:r>
    </w:p>
    <w:p w14:paraId="06B1A332" w14:textId="77777777" w:rsidR="00154EAA" w:rsidRPr="00154EAA" w:rsidRDefault="00154EAA" w:rsidP="00154EAA">
      <w:pPr>
        <w:spacing w:after="0"/>
        <w:jc w:val="both"/>
        <w:rPr>
          <w:rFonts w:ascii="Sylfaen" w:eastAsia="Calibri" w:hAnsi="Sylfaen" w:cs="Times New Roman"/>
          <w:kern w:val="2"/>
          <w:lang w:val="en-US" w:eastAsia="en-US"/>
        </w:rPr>
      </w:pPr>
    </w:p>
    <w:p w14:paraId="67CE6B7C" w14:textId="7C301657" w:rsidR="00154EAA" w:rsidRPr="00154EAA" w:rsidRDefault="00154EAA" w:rsidP="00154EA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Reading materials associated with the module.</w:t>
      </w:r>
      <w:r w:rsidRPr="00154EAA">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5EF5817C" w14:textId="77777777" w:rsidR="00154EAA" w:rsidRPr="00076CF7" w:rsidRDefault="00154EAA" w:rsidP="00076CF7">
      <w:pPr>
        <w:pStyle w:val="bullet"/>
      </w:pPr>
      <w:r w:rsidRPr="00076CF7">
        <w:t>McConnell, C.R. (2020). Hospital and Healthcare Management. Jones &amp; Bartlett Learning.</w:t>
      </w:r>
    </w:p>
    <w:p w14:paraId="2E54907B" w14:textId="77777777" w:rsidR="00154EAA" w:rsidRPr="00076CF7" w:rsidRDefault="00154EAA" w:rsidP="00076CF7">
      <w:pPr>
        <w:pStyle w:val="bullet"/>
      </w:pPr>
      <w:r w:rsidRPr="00076CF7">
        <w:t xml:space="preserve">Olden, P.C. (2019) Management of Healthcare Organizations: An Introduction, 3rd </w:t>
      </w:r>
      <w:proofErr w:type="spellStart"/>
      <w:r w:rsidRPr="00076CF7">
        <w:t>edn</w:t>
      </w:r>
      <w:proofErr w:type="spellEnd"/>
      <w:r w:rsidRPr="00076CF7">
        <w:t>, Health Administration Press.</w:t>
      </w:r>
    </w:p>
    <w:p w14:paraId="59955655" w14:textId="77777777" w:rsidR="00154EAA" w:rsidRPr="00076CF7" w:rsidRDefault="00154EAA" w:rsidP="00076CF7">
      <w:pPr>
        <w:pStyle w:val="bullet"/>
      </w:pPr>
      <w:proofErr w:type="spellStart"/>
      <w:r w:rsidRPr="00076CF7">
        <w:t>Kunders</w:t>
      </w:r>
      <w:proofErr w:type="spellEnd"/>
      <w:r w:rsidRPr="00076CF7">
        <w:t>, G.D. (2004) Hospitals: Facilities Planning and Management, Tata McGraw-Hill.</w:t>
      </w:r>
    </w:p>
    <w:p w14:paraId="025952CB" w14:textId="77777777" w:rsidR="00154EAA" w:rsidRPr="00076CF7" w:rsidRDefault="00154EAA" w:rsidP="00076CF7">
      <w:pPr>
        <w:pStyle w:val="bullet"/>
      </w:pPr>
      <w:r w:rsidRPr="00076CF7">
        <w:t xml:space="preserve">WHO Regional Office for Europe. (2023). Hospitals of the Future: A Technical Brief on Re-thinking the Architecture of Hospitals. https://iris.who.int/handle/10665/367954 </w:t>
      </w:r>
    </w:p>
    <w:p w14:paraId="57AEC543" w14:textId="77777777" w:rsidR="00154EAA" w:rsidRPr="00076CF7" w:rsidRDefault="00154EAA" w:rsidP="00076CF7">
      <w:pPr>
        <w:pStyle w:val="bullet"/>
      </w:pPr>
      <w:r w:rsidRPr="00076CF7">
        <w:t>Ministry of Health of Armenia. National Strategy for Hospital Sector Development, 2020–2025. https://moh.am</w:t>
      </w:r>
    </w:p>
    <w:p w14:paraId="31CF63EE" w14:textId="77777777" w:rsidR="00154EAA" w:rsidRPr="00076CF7" w:rsidRDefault="00154EAA" w:rsidP="00076CF7">
      <w:pPr>
        <w:pStyle w:val="bullet"/>
      </w:pPr>
      <w:r w:rsidRPr="00076CF7">
        <w:t>State Health Agency of Armenia. Hospital Licensing and Accreditation Guidelines. https://moh.am</w:t>
      </w:r>
    </w:p>
    <w:p w14:paraId="40D511D5" w14:textId="77777777" w:rsidR="00154EAA" w:rsidRPr="00076CF7" w:rsidRDefault="00154EAA" w:rsidP="00076CF7">
      <w:pPr>
        <w:pStyle w:val="bullet"/>
      </w:pPr>
      <w:r w:rsidRPr="00076CF7">
        <w:t>Ministry of Health of Armenia (2022). COVID-19 Health System Response Assessment and Lessons Learned. https://moh.am</w:t>
      </w:r>
    </w:p>
    <w:p w14:paraId="00C7BE8A" w14:textId="77777777" w:rsidR="00154EAA" w:rsidRPr="00076CF7" w:rsidRDefault="00154EAA" w:rsidP="00076CF7">
      <w:pPr>
        <w:pStyle w:val="bullet"/>
      </w:pPr>
      <w:r w:rsidRPr="00076CF7">
        <w:t>National Institute of Health (2023). Hospital Infrastructure and Resilience Review: 1988 Earthquake Retrospective. https://nih.am/am</w:t>
      </w:r>
    </w:p>
    <w:p w14:paraId="42B8C6D8" w14:textId="77777777" w:rsidR="00154EAA" w:rsidRPr="00076CF7" w:rsidRDefault="00154EAA" w:rsidP="00076CF7">
      <w:pPr>
        <w:pStyle w:val="bullet"/>
      </w:pPr>
      <w:r w:rsidRPr="00076CF7">
        <w:t xml:space="preserve">The Joint Commission. Hospital Accreditation Standards https://www.jointcommission.org/standards/ </w:t>
      </w:r>
    </w:p>
    <w:p w14:paraId="441D5385" w14:textId="77777777" w:rsidR="001D1C0A" w:rsidRDefault="001D1C0A" w:rsidP="001D1C0A">
      <w:pPr>
        <w:spacing w:after="0"/>
        <w:jc w:val="both"/>
        <w:rPr>
          <w:rFonts w:ascii="Sylfaen" w:eastAsia="Calibri" w:hAnsi="Sylfaen" w:cs="Times New Roman"/>
          <w:b/>
          <w:bCs/>
          <w:i/>
          <w:iCs/>
          <w:kern w:val="2"/>
          <w:lang w:val="en-US" w:eastAsia="en-US"/>
        </w:rPr>
      </w:pPr>
    </w:p>
    <w:p w14:paraId="379EC893" w14:textId="3B804D2C" w:rsidR="001D1C0A" w:rsidRPr="001D1C0A" w:rsidRDefault="001D1C0A" w:rsidP="001D1C0A">
      <w:pPr>
        <w:spacing w:after="0"/>
        <w:jc w:val="both"/>
        <w:rPr>
          <w:rFonts w:ascii="Sylfaen" w:eastAsia="Calibri" w:hAnsi="Sylfaen" w:cs="Times New Roman"/>
          <w:b/>
          <w:bCs/>
          <w:i/>
          <w:iCs/>
          <w:kern w:val="2"/>
          <w:lang w:val="en-US" w:eastAsia="en-US"/>
        </w:rPr>
      </w:pPr>
      <w:r w:rsidRPr="001D1C0A">
        <w:rPr>
          <w:rFonts w:ascii="Sylfaen" w:eastAsia="Calibri" w:hAnsi="Sylfaen" w:cs="Times New Roman"/>
          <w:b/>
          <w:bCs/>
          <w:i/>
          <w:iCs/>
          <w:kern w:val="2"/>
          <w:lang w:val="en-US" w:eastAsia="en-US"/>
        </w:rPr>
        <w:t>Assessments used</w:t>
      </w:r>
    </w:p>
    <w:p w14:paraId="61817229"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summative assessment for this module consists of an individual 10-15-minute oral presentation. Each student is required to analyze a real or hypothetical case related to hospital administration and present a strategic response plan. The selected case must address one or more core domains of hospital management, such as organizational structure, financial planning, human resource management, emergency preparedness, or regulatory compliance.</w:t>
      </w:r>
    </w:p>
    <w:p w14:paraId="3E058907"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presentation will be assessed based on the following criteria:</w:t>
      </w:r>
    </w:p>
    <w:p w14:paraId="7566AE3A" w14:textId="780D166D" w:rsidR="001D1C0A" w:rsidRPr="00076CF7" w:rsidRDefault="001D1C0A" w:rsidP="00076CF7">
      <w:pPr>
        <w:pStyle w:val="bullet"/>
      </w:pPr>
      <w:r w:rsidRPr="00076CF7">
        <w:t>Understanding and application of hospital management principles, including alignment of the proposed response with operational best practices and administrative standards;</w:t>
      </w:r>
    </w:p>
    <w:p w14:paraId="7F36DB5B" w14:textId="099B7035" w:rsidR="001D1C0A" w:rsidRPr="00076CF7" w:rsidRDefault="001D1C0A" w:rsidP="00076CF7">
      <w:pPr>
        <w:pStyle w:val="bullet"/>
      </w:pPr>
      <w:r w:rsidRPr="00076CF7">
        <w:t>Coherence, feasibility, and strategic clarity of the proposed plan, particularly in resource-constrained or emergency contexts;</w:t>
      </w:r>
    </w:p>
    <w:p w14:paraId="768A2EA9" w14:textId="4789E41C" w:rsidR="001D1C0A" w:rsidRPr="00076CF7" w:rsidRDefault="001D1C0A" w:rsidP="00076CF7">
      <w:pPr>
        <w:pStyle w:val="bullet"/>
      </w:pPr>
      <w:r w:rsidRPr="00076CF7">
        <w:t>Integration of quality, safety, and regulatory considerations, including awareness of Armenian health system regulations and international standards;</w:t>
      </w:r>
    </w:p>
    <w:p w14:paraId="2E2D0C4C" w14:textId="08514744" w:rsidR="001D1C0A" w:rsidRPr="00076CF7" w:rsidRDefault="001D1C0A" w:rsidP="00076CF7">
      <w:pPr>
        <w:pStyle w:val="bullet"/>
      </w:pPr>
      <w:r w:rsidRPr="00076CF7">
        <w:t>Presentation quality, including logical structure, clarity of delivery, and professional communication;</w:t>
      </w:r>
    </w:p>
    <w:p w14:paraId="113D7FAD" w14:textId="2D239C6D" w:rsidR="001D1C0A" w:rsidRPr="00076CF7" w:rsidRDefault="001D1C0A" w:rsidP="00076CF7">
      <w:pPr>
        <w:pStyle w:val="bullet"/>
      </w:pPr>
      <w:r w:rsidRPr="00076CF7">
        <w:t>Responsiveness to questions and critical engagement, demonstrated through the student’s ability to justify their decisions and respond to feedback during the Q&amp;A segment.</w:t>
      </w:r>
    </w:p>
    <w:p w14:paraId="478EB2AF" w14:textId="7F57CEEF" w:rsidR="00154EA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Formative assessment includes structured in-class discussions, simulation-based exercises, and peer feedback on hospital administration scenarios. These learning activities focus on developing practical skills in healthcare facility management, with emphasis on Armenian institutional frameworks as well as international models and comparative case examples.</w:t>
      </w:r>
    </w:p>
    <w:p w14:paraId="1B358173" w14:textId="77777777" w:rsidR="00154EAA" w:rsidRDefault="00154EAA" w:rsidP="002133F8">
      <w:pPr>
        <w:spacing w:after="0"/>
        <w:jc w:val="both"/>
        <w:rPr>
          <w:rFonts w:ascii="Sylfaen" w:eastAsia="Calibri" w:hAnsi="Sylfaen" w:cs="Times New Roman"/>
          <w:kern w:val="2"/>
          <w:lang w:val="en-US" w:eastAsia="en-US"/>
        </w:rPr>
      </w:pPr>
    </w:p>
    <w:p w14:paraId="13B0B2CA" w14:textId="3E60D1A2" w:rsidR="00286A3C" w:rsidRPr="005F525D" w:rsidRDefault="005F525D" w:rsidP="001C1482">
      <w:pPr>
        <w:spacing w:after="0"/>
        <w:rPr>
          <w:rFonts w:ascii="Sylfaen" w:eastAsia="Calibri" w:hAnsi="Sylfaen" w:cs="Times New Roman"/>
          <w:b/>
          <w:bCs/>
          <w:i/>
          <w:iCs/>
          <w:color w:val="4F81BD" w:themeColor="accent1"/>
          <w:kern w:val="2"/>
          <w:u w:val="single"/>
          <w:lang w:val="en-US" w:eastAsia="en-US"/>
        </w:rPr>
      </w:pPr>
      <w:r w:rsidRPr="005F525D">
        <w:rPr>
          <w:rFonts w:ascii="Sylfaen" w:eastAsia="Calibri" w:hAnsi="Sylfaen" w:cs="Times New Roman"/>
          <w:b/>
          <w:bCs/>
          <w:i/>
          <w:iCs/>
          <w:color w:val="4F81BD" w:themeColor="accent1"/>
          <w:kern w:val="2"/>
          <w:u w:val="single"/>
          <w:lang w:val="en-US" w:eastAsia="en-US"/>
        </w:rPr>
        <w:t>Health Policy and Law</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654BD385" w14:textId="57940ED4" w:rsidR="005F525D" w:rsidRDefault="005F525D" w:rsidP="002133F8">
      <w:pPr>
        <w:spacing w:after="0"/>
        <w:jc w:val="both"/>
        <w:rPr>
          <w:rFonts w:ascii="Sylfaen" w:eastAsia="Calibri" w:hAnsi="Sylfaen" w:cs="Times New Roman"/>
          <w:kern w:val="2"/>
          <w:lang w:val="en-US" w:eastAsia="en-US"/>
        </w:rPr>
      </w:pPr>
      <w:r w:rsidRPr="005F525D">
        <w:rPr>
          <w:rFonts w:ascii="Sylfaen" w:eastAsia="Calibri" w:hAnsi="Sylfaen" w:cs="Times New Roman"/>
          <w:kern w:val="2"/>
          <w:lang w:val="en-US" w:eastAsia="en-US"/>
        </w:rPr>
        <w:t xml:space="preserve">This module provides students with a comprehensive understanding of health policy formulation, implementation, and evaluation, as well as the legal frameworks that underpin public health and healthcare delivery. Students learn to </w:t>
      </w:r>
      <w:r w:rsidR="002133F8" w:rsidRPr="005F525D">
        <w:rPr>
          <w:rFonts w:ascii="Sylfaen" w:eastAsia="Calibri" w:hAnsi="Sylfaen" w:cs="Times New Roman"/>
          <w:kern w:val="2"/>
          <w:lang w:val="en-US" w:eastAsia="en-US"/>
        </w:rPr>
        <w:t>analyze</w:t>
      </w:r>
      <w:r w:rsidRPr="005F525D">
        <w:rPr>
          <w:rFonts w:ascii="Sylfaen" w:eastAsia="Calibri" w:hAnsi="Sylfaen" w:cs="Times New Roman"/>
          <w:kern w:val="2"/>
          <w:lang w:val="en-US" w:eastAsia="en-US"/>
        </w:rPr>
        <w:t xml:space="preserve"> the influence of governance structures, policy instruments, and stakeholder interests on population health outcomes, equity, and system performance. The module emphasizes the application of policy analysis tools, critical assessment of national and international health policies—including those relevant to Armenia—and interpretation of public health laws and regulations. Special attention is given to legal foundations for emergency preparedness, disaster response, and health system accountability, integrating ethical and human rights considerations.</w:t>
      </w:r>
    </w:p>
    <w:p w14:paraId="294D8A71" w14:textId="3B7CEEE8"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Learning competences / objectives</w:t>
      </w:r>
      <w:r w:rsidRPr="001D1C0A">
        <w:rPr>
          <w:rFonts w:ascii="Sylfaen" w:eastAsia="Calibri" w:hAnsi="Sylfaen" w:cs="Times New Roman"/>
          <w:kern w:val="2"/>
          <w:lang w:val="en-US" w:eastAsia="en-US"/>
        </w:rPr>
        <w:t xml:space="preserve"> </w:t>
      </w:r>
    </w:p>
    <w:p w14:paraId="1EC4DA7C" w14:textId="59140D00" w:rsidR="001D1C0A" w:rsidRPr="00076CF7" w:rsidRDefault="001D1C0A" w:rsidP="00076CF7">
      <w:pPr>
        <w:pStyle w:val="bullet"/>
      </w:pPr>
      <w:r w:rsidRPr="00076CF7">
        <w:t>Demonstrate critical understanding of the principles, structures, and processes of health policy formulation, implementation, and evaluation within various political and legal systems.</w:t>
      </w:r>
    </w:p>
    <w:p w14:paraId="00FE7AD4" w14:textId="23C80CCD" w:rsidR="001D1C0A" w:rsidRPr="00076CF7" w:rsidRDefault="001D1C0A" w:rsidP="00076CF7">
      <w:pPr>
        <w:pStyle w:val="bullet"/>
      </w:pPr>
      <w:r w:rsidRPr="00076CF7">
        <w:t>Analyze how legal frameworks and policy instruments influence public health outcomes, healthcare delivery, and population-level health equity.</w:t>
      </w:r>
    </w:p>
    <w:p w14:paraId="3DBAB7D6" w14:textId="6AA3DCB0" w:rsidR="001D1C0A" w:rsidRPr="00076CF7" w:rsidRDefault="001D1C0A" w:rsidP="00076CF7">
      <w:pPr>
        <w:pStyle w:val="bullet"/>
      </w:pPr>
      <w:r w:rsidRPr="00076CF7">
        <w:t>Apply policy analysis tools to assess the development, content, and impact of national and international health policies, including those relevant to Armenia’s health system.</w:t>
      </w:r>
    </w:p>
    <w:p w14:paraId="3F2B55A6" w14:textId="552715C7" w:rsidR="001D1C0A" w:rsidRPr="00076CF7" w:rsidRDefault="001D1C0A" w:rsidP="00076CF7">
      <w:pPr>
        <w:pStyle w:val="bullet"/>
      </w:pPr>
      <w:r w:rsidRPr="00076CF7">
        <w:t>Evaluate the role of governance, stakeholder interests, and legal mechanisms in shaping health system reform, with attention to accountability, transparency, and human rights.</w:t>
      </w:r>
    </w:p>
    <w:p w14:paraId="7C819C7D" w14:textId="45726304" w:rsidR="001D1C0A" w:rsidRPr="00076CF7" w:rsidRDefault="001D1C0A" w:rsidP="00076CF7">
      <w:pPr>
        <w:pStyle w:val="bullet"/>
      </w:pPr>
      <w:r w:rsidRPr="00076CF7">
        <w:t>Demonstrate the ability to interpret and apply relevant public health laws and regulations in Armenia, and compare them with international best practices and global policy frameworks.</w:t>
      </w:r>
    </w:p>
    <w:p w14:paraId="135D69CA" w14:textId="6FFCD6C5" w:rsidR="001D1C0A" w:rsidRPr="00076CF7" w:rsidRDefault="001D1C0A" w:rsidP="00076CF7">
      <w:pPr>
        <w:pStyle w:val="bullet"/>
      </w:pPr>
      <w:r w:rsidRPr="00076CF7">
        <w:t xml:space="preserve">Demonstrate critical understanding of the legal foundations of emergency preparedness and disaster response in public health, including national legislation and international frameworks governing health emergency powers and coordination during crises. </w:t>
      </w:r>
    </w:p>
    <w:p w14:paraId="01B01FF6" w14:textId="77777777" w:rsidR="001D1C0A" w:rsidRPr="001D1C0A" w:rsidRDefault="001D1C0A" w:rsidP="001D1C0A">
      <w:pPr>
        <w:spacing w:after="0"/>
        <w:jc w:val="both"/>
        <w:rPr>
          <w:rFonts w:ascii="Sylfaen" w:eastAsia="Calibri" w:hAnsi="Sylfaen" w:cs="Times New Roman"/>
          <w:kern w:val="2"/>
          <w:lang w:val="en-US" w:eastAsia="en-US"/>
        </w:rPr>
      </w:pPr>
    </w:p>
    <w:p w14:paraId="5CC6CEF9" w14:textId="39F5F66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Syllabus content</w:t>
      </w:r>
      <w:r w:rsidRPr="001D1C0A">
        <w:rPr>
          <w:rFonts w:ascii="Sylfaen" w:eastAsia="Calibri" w:hAnsi="Sylfaen" w:cs="Times New Roman"/>
          <w:kern w:val="2"/>
          <w:lang w:val="en-US" w:eastAsia="en-US"/>
        </w:rPr>
        <w:t xml:space="preserve">. </w:t>
      </w:r>
    </w:p>
    <w:p w14:paraId="51FEFF8C" w14:textId="63935C51" w:rsidR="001D1C0A" w:rsidRPr="00076CF7" w:rsidRDefault="001D1C0A" w:rsidP="00076CF7">
      <w:pPr>
        <w:pStyle w:val="bullet"/>
      </w:pPr>
      <w:r w:rsidRPr="00076CF7">
        <w:t>Fundamentals of health policy: agenda setting, policy development, implementation, and evaluation</w:t>
      </w:r>
    </w:p>
    <w:p w14:paraId="3E9E8D94" w14:textId="3D6B0725" w:rsidR="001D1C0A" w:rsidRPr="00076CF7" w:rsidRDefault="001D1C0A" w:rsidP="00076CF7">
      <w:pPr>
        <w:pStyle w:val="bullet"/>
      </w:pPr>
      <w:r w:rsidRPr="00076CF7">
        <w:t>Legal foundations of public health: rule of law, legal authority, and regulatory mechanisms in health protection and promotion</w:t>
      </w:r>
    </w:p>
    <w:p w14:paraId="63AA39EF" w14:textId="4A267650" w:rsidR="001D1C0A" w:rsidRPr="00076CF7" w:rsidRDefault="001D1C0A" w:rsidP="00076CF7">
      <w:pPr>
        <w:pStyle w:val="bullet"/>
      </w:pPr>
      <w:r w:rsidRPr="00076CF7">
        <w:t>Types of health policy instruments: legislation, regulation, guidelines, strategic planning, and intersectoral collaboration</w:t>
      </w:r>
    </w:p>
    <w:p w14:paraId="147D777E" w14:textId="138D4379" w:rsidR="001D1C0A" w:rsidRPr="00076CF7" w:rsidRDefault="001D1C0A" w:rsidP="00076CF7">
      <w:pPr>
        <w:pStyle w:val="bullet"/>
      </w:pPr>
      <w:r w:rsidRPr="00076CF7">
        <w:t>Policy analysis frameworks and tools: stakeholder mapping, impact assessment, and evidence-based policymaking</w:t>
      </w:r>
    </w:p>
    <w:p w14:paraId="2C5DE54E" w14:textId="42C28495" w:rsidR="001D1C0A" w:rsidRPr="00076CF7" w:rsidRDefault="001D1C0A" w:rsidP="00076CF7">
      <w:pPr>
        <w:pStyle w:val="bullet"/>
      </w:pPr>
      <w:r w:rsidRPr="00076CF7">
        <w:t>Health governance structures: roles of government, ministries, agencies, civil society, and international organizations</w:t>
      </w:r>
    </w:p>
    <w:p w14:paraId="2932B495" w14:textId="01125083" w:rsidR="001D1C0A" w:rsidRPr="00076CF7" w:rsidRDefault="001D1C0A" w:rsidP="00076CF7">
      <w:pPr>
        <w:pStyle w:val="bullet"/>
      </w:pPr>
      <w:r w:rsidRPr="00076CF7">
        <w:t>Comparative perspectives on health law and policy: models from high-, middle-, and low-income countries</w:t>
      </w:r>
    </w:p>
    <w:p w14:paraId="19468A67" w14:textId="19497193" w:rsidR="001D1C0A" w:rsidRPr="00076CF7" w:rsidRDefault="001D1C0A" w:rsidP="00076CF7">
      <w:pPr>
        <w:pStyle w:val="bullet"/>
      </w:pPr>
      <w:r w:rsidRPr="00076CF7">
        <w:t>National health policy development in Armenia: key strategies, reform priorities, and alignment with WHO frameworks and UHC goals</w:t>
      </w:r>
    </w:p>
    <w:p w14:paraId="423855D4" w14:textId="71C717D2" w:rsidR="001D1C0A" w:rsidRPr="00076CF7" w:rsidRDefault="001D1C0A" w:rsidP="00076CF7">
      <w:pPr>
        <w:pStyle w:val="bullet"/>
      </w:pPr>
      <w:r w:rsidRPr="00076CF7">
        <w:t>Overview of Armenian legal documents governing health: the Law on Medical Care and Services to the Population, Law on Public Health, and patient rights legislation</w:t>
      </w:r>
    </w:p>
    <w:p w14:paraId="064179A4" w14:textId="2B1F4F71" w:rsidR="001D1C0A" w:rsidRPr="00076CF7" w:rsidRDefault="001D1C0A" w:rsidP="00076CF7">
      <w:pPr>
        <w:pStyle w:val="bullet"/>
      </w:pPr>
      <w:r w:rsidRPr="00076CF7">
        <w:lastRenderedPageBreak/>
        <w:t>Legal dimensions of emergency preparedness and disaster management: health emergency powers, coordination mechanisms, legal frameworks for outbreak response, and protection of rights in emergencies</w:t>
      </w:r>
    </w:p>
    <w:p w14:paraId="18E430F8" w14:textId="66977633" w:rsidR="001D1C0A" w:rsidRPr="00076CF7" w:rsidRDefault="001D1C0A" w:rsidP="00076CF7">
      <w:pPr>
        <w:pStyle w:val="bullet"/>
      </w:pPr>
      <w:r w:rsidRPr="00076CF7">
        <w:t>Legal dimensions of priority health issues: vaccination mandates, health emergency powers, licensing, data protection, and health equity</w:t>
      </w:r>
    </w:p>
    <w:p w14:paraId="053749E7" w14:textId="12521BD6" w:rsidR="001D1C0A" w:rsidRPr="00076CF7" w:rsidRDefault="001D1C0A" w:rsidP="00076CF7">
      <w:pPr>
        <w:pStyle w:val="bullet"/>
      </w:pPr>
      <w:r w:rsidRPr="00076CF7">
        <w:t>The intersection of public health law, ethics, and human rights in national and international contexts</w:t>
      </w:r>
    </w:p>
    <w:p w14:paraId="351AD20D" w14:textId="77777777" w:rsidR="001D1C0A" w:rsidRPr="001D1C0A" w:rsidRDefault="001D1C0A" w:rsidP="00076CF7">
      <w:pPr>
        <w:pStyle w:val="bullet"/>
      </w:pPr>
    </w:p>
    <w:p w14:paraId="60F8F9DD" w14:textId="471261A0"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kern w:val="2"/>
          <w:lang w:val="en-US" w:eastAsia="en-US"/>
        </w:rPr>
        <w:t>Reading materials associated with the module</w:t>
      </w:r>
      <w:r w:rsidRPr="001D1C0A">
        <w:rPr>
          <w:rFonts w:ascii="Sylfaen" w:eastAsia="Calibri" w:hAnsi="Sylfaen" w:cs="Times New Roman"/>
          <w:kern w:val="2"/>
          <w:lang w:val="en-US" w:eastAsia="en-US"/>
        </w:rPr>
        <w:t>. Note: Course is taught in Armenian. The following international sources are used by faculty to prepare Armenian-language content. Armenian sources are listed with translated titles.</w:t>
      </w:r>
    </w:p>
    <w:p w14:paraId="092727D1" w14:textId="77777777" w:rsidR="001D1C0A" w:rsidRPr="001D1C0A" w:rsidRDefault="001D1C0A" w:rsidP="00076CF7">
      <w:pPr>
        <w:pStyle w:val="bullet"/>
      </w:pPr>
      <w:r w:rsidRPr="001D1C0A">
        <w:t xml:space="preserve">Buse, K., Mays, N., &amp; Walt, G. (2012). Making Health Policy, 2nd </w:t>
      </w:r>
      <w:proofErr w:type="spellStart"/>
      <w:r w:rsidRPr="001D1C0A">
        <w:t>edn</w:t>
      </w:r>
      <w:proofErr w:type="spellEnd"/>
      <w:r w:rsidRPr="001D1C0A">
        <w:t>, McGraw-Hill/Open University Press.</w:t>
      </w:r>
    </w:p>
    <w:p w14:paraId="332173F0" w14:textId="77777777" w:rsidR="001D1C0A" w:rsidRPr="001D1C0A" w:rsidRDefault="001D1C0A" w:rsidP="00076CF7">
      <w:pPr>
        <w:pStyle w:val="bullet"/>
      </w:pPr>
      <w:r w:rsidRPr="001D1C0A">
        <w:t xml:space="preserve">World Health Organization. (2014). Health Systems Governance for Universal Health Coverage: Action Plan. Geneva: WHO. https://iris.who.int/bitstream/handle/10665/341159/WHO-HSS-HSF-2014.01-eng.pdf </w:t>
      </w:r>
    </w:p>
    <w:p w14:paraId="5B3FC126" w14:textId="77777777" w:rsidR="001D1C0A" w:rsidRPr="001D1C0A" w:rsidRDefault="001D1C0A" w:rsidP="00076CF7">
      <w:pPr>
        <w:pStyle w:val="bullet"/>
      </w:pPr>
      <w:r w:rsidRPr="001D1C0A">
        <w:t>National Institute of Health (Armenia) &amp; WHO Armenia (2022). Health Policy Reforms in Armenia: Challenges and Lessons Learned. https://nih.am/am</w:t>
      </w:r>
    </w:p>
    <w:p w14:paraId="6ACFA86B" w14:textId="77777777" w:rsidR="001D1C0A" w:rsidRPr="001D1C0A" w:rsidRDefault="001D1C0A" w:rsidP="00076CF7">
      <w:pPr>
        <w:pStyle w:val="bullet"/>
      </w:pPr>
      <w:r w:rsidRPr="001D1C0A">
        <w:t>Key legal and strategic documents that define Armenia’s health policy landscape, legal responsibilities, and public health governance structures.</w:t>
      </w:r>
    </w:p>
    <w:p w14:paraId="0E81F907" w14:textId="77777777" w:rsidR="001D1C0A" w:rsidRDefault="001D1C0A" w:rsidP="001D1C0A">
      <w:pPr>
        <w:spacing w:after="0"/>
        <w:jc w:val="both"/>
        <w:rPr>
          <w:rFonts w:ascii="Sylfaen" w:eastAsia="Calibri" w:hAnsi="Sylfaen" w:cs="Times New Roman"/>
          <w:b/>
          <w:bCs/>
          <w:i/>
          <w:iCs/>
          <w:kern w:val="2"/>
          <w:lang w:val="en-US" w:eastAsia="en-US"/>
        </w:rPr>
      </w:pPr>
    </w:p>
    <w:p w14:paraId="63E589D6" w14:textId="0EF6009B"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Assessments used</w:t>
      </w:r>
    </w:p>
    <w:p w14:paraId="77E5C5DC"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summative assessment for this module consists of a paper-based test composed of 50 close-ended questions, designed to evaluate students’ theoretical knowledge and legal reasoning in the context of health policy and law. The test includes three question types:</w:t>
      </w:r>
    </w:p>
    <w:p w14:paraId="44E47112" w14:textId="7EEA665F" w:rsidR="001D1C0A" w:rsidRPr="00076CF7" w:rsidRDefault="001D1C0A" w:rsidP="00076CF7">
      <w:pPr>
        <w:pStyle w:val="bullet"/>
      </w:pPr>
      <w:r w:rsidRPr="00076CF7">
        <w:t>Multiple-choice questions (MCQs) assess students’ recall and understanding of key legal definitions, health policy concepts, and the structure of regulatory frameworks relevant to public health systems.</w:t>
      </w:r>
    </w:p>
    <w:p w14:paraId="0AD2ABF7" w14:textId="609E9E5E" w:rsidR="001D1C0A" w:rsidRPr="00076CF7" w:rsidRDefault="001D1C0A" w:rsidP="00076CF7">
      <w:pPr>
        <w:pStyle w:val="bullet"/>
      </w:pPr>
      <w:r w:rsidRPr="00076CF7">
        <w:t>Single-best-answer questions evaluate students’ ability to apply legal reasoning and policy interpretation in real-world scenarios by selecting the most appropriate legal or regulatory response.</w:t>
      </w:r>
    </w:p>
    <w:p w14:paraId="4F1BCFD6" w14:textId="00EA668C" w:rsidR="001D1C0A" w:rsidRPr="00076CF7" w:rsidRDefault="001D1C0A" w:rsidP="00076CF7">
      <w:pPr>
        <w:pStyle w:val="bullet"/>
      </w:pPr>
      <w:r w:rsidRPr="00076CF7">
        <w:t>Exception-type questions test students’ critical thinking and ability to distinguish legally or procedurally incorrect options within a given policy or legislative context.</w:t>
      </w:r>
    </w:p>
    <w:p w14:paraId="79012BEA"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To successfully pass the module, students must achieve more than 50% correct responses on the paper-based test.</w:t>
      </w:r>
    </w:p>
    <w:p w14:paraId="62670935" w14:textId="3CFEB4C8" w:rsid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Formative assessment is integrated throughout the module and includes short in-class quizzes, structured case analyses of legislative examples, and peer discussions on legal dilemmas and policy development. These activities support students in strengthening their legal and policy vocabulary, understanding the practical implications of Armenian health laws, and applying analytical reasoning to current and hypothetical public health situations. Regular instructor feedback during these sessions helps students identify knowledge gaps and build confidence for the summative assessment.</w:t>
      </w:r>
    </w:p>
    <w:p w14:paraId="2AE832C1" w14:textId="77777777" w:rsidR="001A3C5B" w:rsidRPr="00916805" w:rsidRDefault="001A3C5B" w:rsidP="001C1482">
      <w:pPr>
        <w:spacing w:after="0"/>
        <w:rPr>
          <w:rFonts w:ascii="Sylfaen" w:eastAsia="Calibri" w:hAnsi="Sylfaen" w:cs="Times New Roman"/>
          <w:b/>
          <w:bCs/>
          <w:kern w:val="2"/>
          <w:lang w:val="en-US" w:eastAsia="en-US"/>
        </w:rPr>
      </w:pPr>
    </w:p>
    <w:p w14:paraId="07EFD959" w14:textId="1FF26B9A" w:rsidR="005F525D" w:rsidRDefault="005F525D" w:rsidP="001C1482">
      <w:pPr>
        <w:spacing w:after="0"/>
        <w:rPr>
          <w:rFonts w:ascii="Sylfaen" w:eastAsia="Calibri" w:hAnsi="Sylfaen" w:cs="Times New Roman"/>
          <w:b/>
          <w:bCs/>
          <w:i/>
          <w:iCs/>
          <w:color w:val="4F81BD" w:themeColor="accent1"/>
          <w:kern w:val="2"/>
          <w:u w:val="single"/>
          <w:lang w:val="en-US" w:eastAsia="en-US"/>
        </w:rPr>
      </w:pPr>
      <w:r w:rsidRPr="005F525D">
        <w:rPr>
          <w:rFonts w:ascii="Sylfaen" w:eastAsia="Calibri" w:hAnsi="Sylfaen" w:cs="Times New Roman"/>
          <w:b/>
          <w:bCs/>
          <w:i/>
          <w:iCs/>
          <w:color w:val="4F81BD" w:themeColor="accent1"/>
          <w:kern w:val="2"/>
          <w:u w:val="single"/>
          <w:lang w:val="en-US" w:eastAsia="en-US"/>
        </w:rPr>
        <w:t xml:space="preserve">Comparative Analysis of Healthcare Systems </w:t>
      </w:r>
      <w:r w:rsidR="00E63A5D" w:rsidRPr="00E63A5D">
        <w:rPr>
          <w:rFonts w:ascii="Sylfaen" w:eastAsia="Calibri" w:hAnsi="Sylfaen" w:cs="Times New Roman"/>
          <w:b/>
          <w:bCs/>
          <w:i/>
          <w:iCs/>
          <w:color w:val="4F81BD" w:themeColor="accent1"/>
          <w:kern w:val="2"/>
          <w:u w:val="single"/>
          <w:lang w:val="en-US" w:eastAsia="en-US"/>
        </w:rPr>
        <w:t>(3 credits)</w:t>
      </w:r>
    </w:p>
    <w:p w14:paraId="37E40F97" w14:textId="08B01B53" w:rsidR="001A3C5B" w:rsidRDefault="005F525D" w:rsidP="002133F8">
      <w:pPr>
        <w:spacing w:after="0"/>
        <w:jc w:val="both"/>
        <w:rPr>
          <w:rFonts w:ascii="Sylfaen" w:eastAsia="Calibri" w:hAnsi="Sylfaen" w:cs="Times New Roman"/>
          <w:kern w:val="2"/>
          <w:lang w:val="en-US" w:eastAsia="en-US"/>
        </w:rPr>
      </w:pPr>
      <w:r w:rsidRPr="005F525D">
        <w:rPr>
          <w:rFonts w:ascii="Sylfaen" w:eastAsia="Calibri" w:hAnsi="Sylfaen" w:cs="Times New Roman"/>
          <w:kern w:val="2"/>
          <w:lang w:val="en-US" w:eastAsia="en-US"/>
        </w:rPr>
        <w:t xml:space="preserve">This module introduces students to the comparative study of health systems, focusing on their structural, functional, and governance characteristics across diverse country contexts, with particular attention to Armenia’s post-Soviet health system. Students critically examine the influence of political, economic, social, </w:t>
      </w:r>
      <w:r w:rsidRPr="005F525D">
        <w:rPr>
          <w:rFonts w:ascii="Sylfaen" w:eastAsia="Calibri" w:hAnsi="Sylfaen" w:cs="Times New Roman"/>
          <w:kern w:val="2"/>
          <w:lang w:val="en-US" w:eastAsia="en-US"/>
        </w:rPr>
        <w:lastRenderedPageBreak/>
        <w:t>and cultural factors on health system organization, financing, and service delivery. The module emphasizes performance assessment using international indicators of access, quality, equity, and efficiency, and explores strategies for health system reform, resilience, and post-conflict recovery. Case studies from high-, middle-, and low-income countries provide practical insights into system strengthening and adaptation to evolving public health challenges.</w:t>
      </w:r>
    </w:p>
    <w:p w14:paraId="5C766027" w14:textId="77777777" w:rsidR="00076CF7" w:rsidRDefault="00076CF7" w:rsidP="001D1C0A">
      <w:pPr>
        <w:spacing w:after="0"/>
        <w:jc w:val="both"/>
        <w:rPr>
          <w:rFonts w:ascii="Sylfaen" w:eastAsia="Calibri" w:hAnsi="Sylfaen" w:cs="Times New Roman"/>
          <w:b/>
          <w:bCs/>
          <w:i/>
          <w:iCs/>
          <w:kern w:val="2"/>
          <w:lang w:val="en-US" w:eastAsia="en-US"/>
        </w:rPr>
      </w:pPr>
    </w:p>
    <w:p w14:paraId="583FC3ED" w14:textId="77777777" w:rsidR="00076CF7" w:rsidRDefault="00076CF7" w:rsidP="001D1C0A">
      <w:pPr>
        <w:spacing w:after="0"/>
        <w:jc w:val="both"/>
        <w:rPr>
          <w:rFonts w:ascii="Sylfaen" w:eastAsia="Calibri" w:hAnsi="Sylfaen" w:cs="Times New Roman"/>
          <w:b/>
          <w:bCs/>
          <w:i/>
          <w:iCs/>
          <w:kern w:val="2"/>
          <w:lang w:val="en-US" w:eastAsia="en-US"/>
        </w:rPr>
      </w:pPr>
    </w:p>
    <w:p w14:paraId="7105F7E1" w14:textId="4453A723"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Learning competences / objectives</w:t>
      </w:r>
      <w:r w:rsidRPr="001D1C0A">
        <w:rPr>
          <w:rFonts w:ascii="Sylfaen" w:eastAsia="Calibri" w:hAnsi="Sylfaen" w:cs="Times New Roman"/>
          <w:kern w:val="2"/>
          <w:lang w:val="en-US" w:eastAsia="en-US"/>
        </w:rPr>
        <w:t xml:space="preserve"> </w:t>
      </w:r>
    </w:p>
    <w:p w14:paraId="0D036C0D" w14:textId="3E59D148" w:rsidR="001D1C0A" w:rsidRPr="00076CF7" w:rsidRDefault="001D1C0A" w:rsidP="00076CF7">
      <w:pPr>
        <w:pStyle w:val="bullet"/>
      </w:pPr>
      <w:r w:rsidRPr="00076CF7">
        <w:t>Demonstrate knowledge of different health system models and their structural and functional characteristics across various countries and income settings, including familiarity with the core features of Armenia’s health system.</w:t>
      </w:r>
    </w:p>
    <w:p w14:paraId="5754E532" w14:textId="30EE8113" w:rsidR="001D1C0A" w:rsidRPr="00076CF7" w:rsidRDefault="001D1C0A" w:rsidP="00076CF7">
      <w:pPr>
        <w:pStyle w:val="bullet"/>
      </w:pPr>
      <w:r w:rsidRPr="00076CF7">
        <w:t>Analyze how political, economic, social, and cultural contexts influence the organization, governance, and financing of health systems, with particular attention to health reforms in transition economies.</w:t>
      </w:r>
    </w:p>
    <w:p w14:paraId="6EE98B06" w14:textId="331EB877" w:rsidR="001D1C0A" w:rsidRPr="00076CF7" w:rsidRDefault="001D1C0A" w:rsidP="00076CF7">
      <w:pPr>
        <w:pStyle w:val="bullet"/>
      </w:pPr>
      <w:r w:rsidRPr="00076CF7">
        <w:t>Critically compare health system performance using internationally recognized indicators related to access, equity, quality, and efficiency, drawing on global databases and regional experiences.</w:t>
      </w:r>
    </w:p>
    <w:p w14:paraId="1087598C" w14:textId="3DD9FDAA" w:rsidR="001D1C0A" w:rsidRPr="00076CF7" w:rsidRDefault="001D1C0A" w:rsidP="00076CF7">
      <w:pPr>
        <w:pStyle w:val="bullet"/>
      </w:pPr>
      <w:r w:rsidRPr="00076CF7">
        <w:t>Evaluate health system reform strategies and assess the resilience of systems in response to evolving public health challenges, post-conflict system rebuilding efforts in Armenia and comparable regional settings.</w:t>
      </w:r>
    </w:p>
    <w:p w14:paraId="338306C8" w14:textId="77777777" w:rsidR="001D1C0A" w:rsidRPr="001D1C0A" w:rsidRDefault="001D1C0A" w:rsidP="001D1C0A">
      <w:pPr>
        <w:spacing w:after="0"/>
        <w:jc w:val="both"/>
        <w:rPr>
          <w:rFonts w:ascii="Sylfaen" w:eastAsia="Calibri" w:hAnsi="Sylfaen" w:cs="Times New Roman"/>
          <w:kern w:val="2"/>
          <w:lang w:val="en-US" w:eastAsia="en-US"/>
        </w:rPr>
      </w:pPr>
    </w:p>
    <w:p w14:paraId="44A805F7" w14:textId="316C82D9"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Syllabus content</w:t>
      </w:r>
      <w:r w:rsidRPr="001D1C0A">
        <w:rPr>
          <w:rFonts w:ascii="Sylfaen" w:eastAsia="Calibri" w:hAnsi="Sylfaen" w:cs="Times New Roman"/>
          <w:kern w:val="2"/>
          <w:lang w:val="en-US" w:eastAsia="en-US"/>
        </w:rPr>
        <w:t xml:space="preserve">. </w:t>
      </w:r>
    </w:p>
    <w:p w14:paraId="7CF9B05D" w14:textId="03F93CA7" w:rsidR="001D1C0A" w:rsidRPr="00076CF7" w:rsidRDefault="001D1C0A" w:rsidP="00076CF7">
      <w:pPr>
        <w:pStyle w:val="bullet"/>
      </w:pPr>
      <w:r w:rsidRPr="00076CF7">
        <w:t>Core health system models: Beveridge, Bismarck, National Health Insurance, and mixed systems, including Armenia’s hybrid post-Soviet model</w:t>
      </w:r>
    </w:p>
    <w:p w14:paraId="11EFE59C" w14:textId="2870B1D1" w:rsidR="001D1C0A" w:rsidRPr="00076CF7" w:rsidRDefault="001D1C0A" w:rsidP="00076CF7">
      <w:pPr>
        <w:pStyle w:val="bullet"/>
      </w:pPr>
      <w:r w:rsidRPr="00076CF7">
        <w:t>Key health system functions: financing, service provision, regulation, and stewardship, with reference to WHO and OECD frameworks</w:t>
      </w:r>
    </w:p>
    <w:p w14:paraId="3B485508" w14:textId="09822F3D" w:rsidR="001D1C0A" w:rsidRPr="00076CF7" w:rsidRDefault="001D1C0A" w:rsidP="00076CF7">
      <w:pPr>
        <w:pStyle w:val="bullet"/>
      </w:pPr>
      <w:r w:rsidRPr="00076CF7">
        <w:t>Health system performance metrics: access, quality, efficiency, equity, and responsiveness based on international benchmarks and national assessments</w:t>
      </w:r>
    </w:p>
    <w:p w14:paraId="60F2F90F" w14:textId="4ACCF649" w:rsidR="001D1C0A" w:rsidRPr="00076CF7" w:rsidRDefault="001D1C0A" w:rsidP="00076CF7">
      <w:pPr>
        <w:pStyle w:val="bullet"/>
      </w:pPr>
      <w:r w:rsidRPr="00076CF7">
        <w:t>Country case studies from high-, middle-, and low-income settings, including selected European, Asian, and post-Soviet countries</w:t>
      </w:r>
    </w:p>
    <w:p w14:paraId="64499687" w14:textId="4E9AABA1" w:rsidR="001D1C0A" w:rsidRPr="00076CF7" w:rsidRDefault="001D1C0A" w:rsidP="00076CF7">
      <w:pPr>
        <w:pStyle w:val="bullet"/>
      </w:pPr>
      <w:r w:rsidRPr="00076CF7">
        <w:t>Cross-national comparisons and health system typologies, using tools such as the WHO building blocks and UHC service coverage index</w:t>
      </w:r>
    </w:p>
    <w:p w14:paraId="7620B053" w14:textId="278AC57F" w:rsidR="001D1C0A" w:rsidRPr="00076CF7" w:rsidRDefault="001D1C0A" w:rsidP="00076CF7">
      <w:pPr>
        <w:pStyle w:val="bullet"/>
      </w:pPr>
      <w:r w:rsidRPr="00076CF7">
        <w:t>Role of culture, policy, and economy in shaping health systems, with attention to system transformation in transitional and decentralized governance contexts</w:t>
      </w:r>
    </w:p>
    <w:p w14:paraId="5F1966F2" w14:textId="7AB3BE49" w:rsidR="001D1C0A" w:rsidRPr="00076CF7" w:rsidRDefault="001D1C0A" w:rsidP="00076CF7">
      <w:pPr>
        <w:pStyle w:val="bullet"/>
      </w:pPr>
      <w:r w:rsidRPr="00076CF7">
        <w:t>Trends in health reform and system resilience in the face of global crises (e.g., COVID-19), as well as post-conflict recovery and peacebuilding, including Armenia’s health system response following periods of instability</w:t>
      </w:r>
    </w:p>
    <w:p w14:paraId="6C8F496C" w14:textId="77777777" w:rsidR="001D1C0A" w:rsidRPr="001D1C0A" w:rsidRDefault="001D1C0A" w:rsidP="001D1C0A">
      <w:pPr>
        <w:spacing w:after="0"/>
        <w:jc w:val="both"/>
        <w:rPr>
          <w:rFonts w:ascii="Sylfaen" w:eastAsia="Calibri" w:hAnsi="Sylfaen" w:cs="Times New Roman"/>
          <w:kern w:val="2"/>
          <w:lang w:val="en-US" w:eastAsia="en-US"/>
        </w:rPr>
      </w:pPr>
    </w:p>
    <w:p w14:paraId="5000A992" w14:textId="2DC892F8"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Reading materials associated with the module.</w:t>
      </w:r>
      <w:r w:rsidRPr="001D1C0A">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054CAE69" w14:textId="77777777" w:rsidR="001D1C0A" w:rsidRPr="001D1C0A" w:rsidRDefault="001D1C0A" w:rsidP="00076CF7">
      <w:pPr>
        <w:pStyle w:val="bullet"/>
      </w:pPr>
      <w:proofErr w:type="spellStart"/>
      <w:r w:rsidRPr="001D1C0A">
        <w:t>Mossialos</w:t>
      </w:r>
      <w:proofErr w:type="spellEnd"/>
      <w:r w:rsidRPr="001D1C0A">
        <w:t xml:space="preserve">, E., Djordjevic, A., Osborn, R., &amp; </w:t>
      </w:r>
      <w:proofErr w:type="spellStart"/>
      <w:r w:rsidRPr="001D1C0A">
        <w:t>Sarnak</w:t>
      </w:r>
      <w:proofErr w:type="spellEnd"/>
      <w:r w:rsidRPr="001D1C0A">
        <w:t>, D. (eds.) (2017) International Profiles of Health Care Systems, The Commonwealth Fund &amp; LSE.</w:t>
      </w:r>
    </w:p>
    <w:p w14:paraId="44FF5209" w14:textId="77777777" w:rsidR="001D1C0A" w:rsidRPr="001D1C0A" w:rsidRDefault="001D1C0A" w:rsidP="00076CF7">
      <w:pPr>
        <w:pStyle w:val="bullet"/>
      </w:pPr>
      <w:r w:rsidRPr="001D1C0A">
        <w:t xml:space="preserve">Gauld, R. (2019) Comparative Health Policy, 5th </w:t>
      </w:r>
      <w:proofErr w:type="spellStart"/>
      <w:r w:rsidRPr="001D1C0A">
        <w:t>edn</w:t>
      </w:r>
      <w:proofErr w:type="spellEnd"/>
      <w:r w:rsidRPr="001D1C0A">
        <w:t>, Palgrave Macmillan.</w:t>
      </w:r>
    </w:p>
    <w:p w14:paraId="66BB5699" w14:textId="77777777" w:rsidR="001D1C0A" w:rsidRPr="001D1C0A" w:rsidRDefault="001D1C0A" w:rsidP="00076CF7">
      <w:pPr>
        <w:pStyle w:val="bullet"/>
      </w:pPr>
      <w:r w:rsidRPr="001D1C0A">
        <w:lastRenderedPageBreak/>
        <w:t xml:space="preserve">OECD &amp; WHO. (2020) Health at a Glance: Europe https://www.oecd.org/en/publications/health-at-a-glance-europe-2020_82129230-en.html </w:t>
      </w:r>
    </w:p>
    <w:p w14:paraId="6B2BF005" w14:textId="77777777" w:rsidR="001D1C0A" w:rsidRPr="001D1C0A" w:rsidRDefault="001D1C0A" w:rsidP="00076CF7">
      <w:pPr>
        <w:pStyle w:val="bullet"/>
      </w:pPr>
      <w:r w:rsidRPr="001D1C0A">
        <w:t xml:space="preserve">European Observatory on Health Systems and Policies &amp; WHO Regional Office for Europe. (2024). Health systems in action 2024: Armenia. Copenhagen: WHO. https://eurohealthobservatory.who.int/publications/i/health-systems-in-action-armenia-2024 </w:t>
      </w:r>
    </w:p>
    <w:p w14:paraId="1E55CBE9" w14:textId="77777777" w:rsidR="001D1C0A" w:rsidRPr="001D1C0A" w:rsidRDefault="001D1C0A" w:rsidP="00076CF7">
      <w:pPr>
        <w:pStyle w:val="bullet"/>
      </w:pPr>
      <w:r w:rsidRPr="001D1C0A">
        <w:t>European Observatory on Health Systems and Policies &amp; WHO Regional Office for Europe. (2013). Armenia: Health system review (Health Systems in Transition, Vol.</w:t>
      </w:r>
      <w:r w:rsidRPr="001D1C0A">
        <w:rPr>
          <w:rFonts w:ascii="Times New Roman" w:hAnsi="Times New Roman"/>
        </w:rPr>
        <w:t> </w:t>
      </w:r>
      <w:r w:rsidRPr="001D1C0A">
        <w:t>15 No.</w:t>
      </w:r>
      <w:r w:rsidRPr="001D1C0A">
        <w:rPr>
          <w:rFonts w:ascii="Times New Roman" w:hAnsi="Times New Roman"/>
        </w:rPr>
        <w:t> </w:t>
      </w:r>
      <w:r w:rsidRPr="001D1C0A">
        <w:t xml:space="preserve">4). Copenhagen: WHO. https://eurohealthobservatory.who.int/publications/i/armenia-health-system-review-2013 </w:t>
      </w:r>
    </w:p>
    <w:p w14:paraId="2E712D5E" w14:textId="77777777" w:rsidR="001D1C0A" w:rsidRPr="001D1C0A" w:rsidRDefault="001D1C0A" w:rsidP="00076CF7">
      <w:pPr>
        <w:pStyle w:val="bullet"/>
      </w:pPr>
      <w:r w:rsidRPr="001D1C0A">
        <w:t>Ministry of Health of the Republic of Armenia. Health Sector Development Strategy 2021–2026. https://moh.am</w:t>
      </w:r>
    </w:p>
    <w:p w14:paraId="0B76C47E" w14:textId="77777777" w:rsidR="001D1C0A" w:rsidRPr="001D1C0A" w:rsidRDefault="001D1C0A" w:rsidP="00076CF7">
      <w:pPr>
        <w:pStyle w:val="bullet"/>
      </w:pPr>
      <w:r w:rsidRPr="001D1C0A">
        <w:t>National Institute of Health, Republic of Armenia. (2021). Health and Healthcare Statistical Yearbook, 2021. Yerevan: National Institute of Health. https://nih.am/am</w:t>
      </w:r>
    </w:p>
    <w:p w14:paraId="0F231F20" w14:textId="77777777" w:rsidR="001D1C0A" w:rsidRPr="001D1C0A" w:rsidRDefault="001D1C0A" w:rsidP="00076CF7">
      <w:pPr>
        <w:pStyle w:val="bullet"/>
      </w:pPr>
      <w:r w:rsidRPr="001D1C0A">
        <w:t xml:space="preserve">WHO Europe. (2024).  Building Health Systems Resilience to public health challenges. Guidance for implementation in countries. https://iris.who.int/bitstream/handle/10665/377652/9789240094321-eng.pdf?sequence=1 </w:t>
      </w:r>
    </w:p>
    <w:p w14:paraId="09EC6A20" w14:textId="77777777" w:rsidR="001D1C0A" w:rsidRDefault="001D1C0A" w:rsidP="001D1C0A">
      <w:pPr>
        <w:spacing w:after="0"/>
        <w:jc w:val="both"/>
        <w:rPr>
          <w:rFonts w:ascii="Sylfaen" w:eastAsia="Calibri" w:hAnsi="Sylfaen" w:cs="Times New Roman"/>
          <w:kern w:val="2"/>
          <w:lang w:val="en-US" w:eastAsia="en-US"/>
        </w:rPr>
      </w:pPr>
    </w:p>
    <w:p w14:paraId="00798C71" w14:textId="4DAFF5DC" w:rsidR="001D1C0A" w:rsidRPr="001D1C0A" w:rsidRDefault="001D1C0A" w:rsidP="001D1C0A">
      <w:pPr>
        <w:spacing w:after="0"/>
        <w:jc w:val="both"/>
        <w:rPr>
          <w:rFonts w:ascii="Sylfaen" w:eastAsia="Calibri" w:hAnsi="Sylfaen" w:cs="Times New Roman"/>
          <w:b/>
          <w:bCs/>
          <w:i/>
          <w:iCs/>
          <w:kern w:val="2"/>
          <w:lang w:val="en-US" w:eastAsia="en-US"/>
        </w:rPr>
      </w:pPr>
      <w:r w:rsidRPr="001D1C0A">
        <w:rPr>
          <w:rFonts w:ascii="Sylfaen" w:eastAsia="Calibri" w:hAnsi="Sylfaen" w:cs="Times New Roman"/>
          <w:b/>
          <w:bCs/>
          <w:i/>
          <w:iCs/>
          <w:kern w:val="2"/>
          <w:lang w:val="en-US" w:eastAsia="en-US"/>
        </w:rPr>
        <w:t>Assessments Used</w:t>
      </w:r>
    </w:p>
    <w:p w14:paraId="520D8DA9"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summative assessment for this module consists of an individual oral presentation lasting 10–15 minutes. Each student is required to select a country of their choice and conduct a structured comparative analysis of its health system. The presentation must address key components, including the system’s structural model (e.g., Beveridge, Bismarck, national health insurance), governance and financing mechanisms, performance indicators (such as access, equity, quality, and efficiency), and contextual influences, including political, economic, and cultural factors. Students are expected to support their analysis using reliable data from reputable international sources (e.g., WHO, OECD, World Bank) and relate their findings to global comparative health system frameworks.</w:t>
      </w:r>
    </w:p>
    <w:p w14:paraId="6D007897"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Assessment will evaluate:</w:t>
      </w:r>
    </w:p>
    <w:p w14:paraId="461F293F" w14:textId="1A5F2B98" w:rsidR="001D1C0A" w:rsidRPr="00076CF7" w:rsidRDefault="001D1C0A" w:rsidP="00076CF7">
      <w:pPr>
        <w:pStyle w:val="bullet"/>
      </w:pPr>
      <w:r w:rsidRPr="00076CF7">
        <w:t>Depth and coherence of analysis, including understanding of system structure and policy context;</w:t>
      </w:r>
    </w:p>
    <w:p w14:paraId="347E4169" w14:textId="02578562" w:rsidR="001D1C0A" w:rsidRPr="00076CF7" w:rsidRDefault="001D1C0A" w:rsidP="00076CF7">
      <w:pPr>
        <w:pStyle w:val="bullet"/>
      </w:pPr>
      <w:r w:rsidRPr="00076CF7">
        <w:t>Application of comparative frameworks, demonstrating the ability to evaluate performance across countries using standardized metrics;</w:t>
      </w:r>
    </w:p>
    <w:p w14:paraId="6AA025B8" w14:textId="656A3189" w:rsidR="001D1C0A" w:rsidRPr="00076CF7" w:rsidRDefault="001D1C0A" w:rsidP="00076CF7">
      <w:pPr>
        <w:pStyle w:val="bullet"/>
      </w:pPr>
      <w:r w:rsidRPr="00076CF7">
        <w:t>Accuracy and quality of data interpretation, including source credibility and contextualization of findings;</w:t>
      </w:r>
    </w:p>
    <w:p w14:paraId="1CD3F61D" w14:textId="764E2F0F" w:rsidR="001D1C0A" w:rsidRPr="00076CF7" w:rsidRDefault="001D1C0A" w:rsidP="00076CF7">
      <w:pPr>
        <w:pStyle w:val="bullet"/>
      </w:pPr>
      <w:r w:rsidRPr="00076CF7">
        <w:t>Effectiveness of communication, including clarity of structure, visual presentation quality (if applicable), and the ability to articulate findings in a professional and engaging manner.</w:t>
      </w:r>
    </w:p>
    <w:p w14:paraId="62EF30DB" w14:textId="0A956A17" w:rsid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Formative assessment includes structured in-class discussions, instructor-guided comparative case analyses, and small-group exercises focused on applying international health system frameworks, interpreting performance metrics, and evaluating policy levers. These activities also support contextual reflection by drawing comparisons with the Armenian health system and encourage students to refine their analytical approach prior to the final presentation.</w:t>
      </w:r>
    </w:p>
    <w:p w14:paraId="287C29DF" w14:textId="77777777" w:rsidR="005F525D" w:rsidRPr="00916805" w:rsidRDefault="005F525D" w:rsidP="001C1482">
      <w:pPr>
        <w:spacing w:after="0"/>
        <w:rPr>
          <w:rFonts w:ascii="Sylfaen" w:eastAsia="Calibri" w:hAnsi="Sylfaen" w:cs="Times New Roman"/>
          <w:b/>
          <w:bCs/>
          <w:kern w:val="2"/>
          <w:lang w:val="en-US" w:eastAsia="en-US"/>
        </w:rPr>
      </w:pPr>
    </w:p>
    <w:p w14:paraId="59035B3A" w14:textId="418E9F98" w:rsidR="005F525D" w:rsidRDefault="005F525D" w:rsidP="001C1482">
      <w:pPr>
        <w:spacing w:after="0"/>
        <w:rPr>
          <w:rFonts w:ascii="Sylfaen" w:eastAsia="Calibri" w:hAnsi="Sylfaen" w:cs="Times New Roman"/>
          <w:b/>
          <w:bCs/>
          <w:i/>
          <w:iCs/>
          <w:color w:val="4F81BD" w:themeColor="accent1"/>
          <w:kern w:val="2"/>
          <w:u w:val="single"/>
          <w:lang w:val="en-US" w:eastAsia="en-US"/>
        </w:rPr>
      </w:pPr>
      <w:r w:rsidRPr="005F525D">
        <w:rPr>
          <w:rFonts w:ascii="Sylfaen" w:eastAsia="Calibri" w:hAnsi="Sylfaen" w:cs="Times New Roman"/>
          <w:b/>
          <w:bCs/>
          <w:i/>
          <w:iCs/>
          <w:color w:val="4F81BD" w:themeColor="accent1"/>
          <w:kern w:val="2"/>
          <w:u w:val="single"/>
          <w:lang w:val="en-US" w:eastAsia="en-US"/>
        </w:rPr>
        <w:t xml:space="preserve">Health Education and Promotion </w:t>
      </w:r>
      <w:r w:rsidR="00E63A5D" w:rsidRPr="00E63A5D">
        <w:rPr>
          <w:rFonts w:ascii="Sylfaen" w:eastAsia="Calibri" w:hAnsi="Sylfaen" w:cs="Times New Roman"/>
          <w:b/>
          <w:bCs/>
          <w:i/>
          <w:iCs/>
          <w:color w:val="4F81BD" w:themeColor="accent1"/>
          <w:kern w:val="2"/>
          <w:u w:val="single"/>
          <w:lang w:val="en-US" w:eastAsia="en-US"/>
        </w:rPr>
        <w:t>(3 credits)</w:t>
      </w:r>
    </w:p>
    <w:p w14:paraId="3F40FD2B" w14:textId="16B0F742" w:rsidR="001A3C5B" w:rsidRDefault="005F525D" w:rsidP="002133F8">
      <w:pPr>
        <w:spacing w:after="0"/>
        <w:jc w:val="both"/>
        <w:rPr>
          <w:rFonts w:ascii="Sylfaen" w:eastAsia="Calibri" w:hAnsi="Sylfaen" w:cs="Times New Roman"/>
          <w:kern w:val="2"/>
          <w:lang w:val="en-US" w:eastAsia="en-US"/>
        </w:rPr>
      </w:pPr>
      <w:r w:rsidRPr="005F525D">
        <w:rPr>
          <w:rFonts w:ascii="Sylfaen" w:eastAsia="Calibri" w:hAnsi="Sylfaen" w:cs="Times New Roman"/>
          <w:kern w:val="2"/>
          <w:lang w:val="en-US" w:eastAsia="en-US"/>
        </w:rPr>
        <w:t xml:space="preserve">This module provides students with a comprehensive understanding of health education and promotion theories, frameworks, and practical applications. Emphasizing participatory, evidence-based, and culturally sensitive approaches, students learn to design, implement, and evaluate interventions that address behavioral, </w:t>
      </w:r>
      <w:r w:rsidRPr="005F525D">
        <w:rPr>
          <w:rFonts w:ascii="Sylfaen" w:eastAsia="Calibri" w:hAnsi="Sylfaen" w:cs="Times New Roman"/>
          <w:kern w:val="2"/>
          <w:lang w:val="en-US" w:eastAsia="en-US"/>
        </w:rPr>
        <w:lastRenderedPageBreak/>
        <w:t>social, and structural determinants of health. The module highlights the use of communication, advocacy, and literacy strategies to promote sustainable behavior change, with a particular focus on equity, rights-based approaches, and the diverse regional, ethnic, and social contexts of Armenia. Case studies from national and international campaigns illustrate practical application and ethical considerations in promoting health across populations.</w:t>
      </w:r>
    </w:p>
    <w:p w14:paraId="0364740A" w14:textId="77777777" w:rsidR="00076CF7" w:rsidRDefault="00076CF7" w:rsidP="001D1C0A">
      <w:pPr>
        <w:spacing w:after="0"/>
        <w:jc w:val="both"/>
        <w:rPr>
          <w:rFonts w:ascii="Sylfaen" w:eastAsia="Calibri" w:hAnsi="Sylfaen" w:cs="Times New Roman"/>
          <w:b/>
          <w:bCs/>
          <w:i/>
          <w:iCs/>
          <w:kern w:val="2"/>
          <w:lang w:val="en-US" w:eastAsia="en-US"/>
        </w:rPr>
      </w:pPr>
    </w:p>
    <w:p w14:paraId="6B6B320A" w14:textId="77777777" w:rsidR="00076CF7" w:rsidRDefault="00076CF7" w:rsidP="001D1C0A">
      <w:pPr>
        <w:spacing w:after="0"/>
        <w:jc w:val="both"/>
        <w:rPr>
          <w:rFonts w:ascii="Sylfaen" w:eastAsia="Calibri" w:hAnsi="Sylfaen" w:cs="Times New Roman"/>
          <w:b/>
          <w:bCs/>
          <w:i/>
          <w:iCs/>
          <w:kern w:val="2"/>
          <w:lang w:val="en-US" w:eastAsia="en-US"/>
        </w:rPr>
      </w:pPr>
    </w:p>
    <w:p w14:paraId="5BA7D338" w14:textId="77777777" w:rsidR="00076CF7" w:rsidRDefault="00076CF7" w:rsidP="001D1C0A">
      <w:pPr>
        <w:spacing w:after="0"/>
        <w:jc w:val="both"/>
        <w:rPr>
          <w:rFonts w:ascii="Sylfaen" w:eastAsia="Calibri" w:hAnsi="Sylfaen" w:cs="Times New Roman"/>
          <w:b/>
          <w:bCs/>
          <w:i/>
          <w:iCs/>
          <w:kern w:val="2"/>
          <w:lang w:val="en-US" w:eastAsia="en-US"/>
        </w:rPr>
      </w:pPr>
    </w:p>
    <w:p w14:paraId="6FDCC4B2" w14:textId="0A6B910A" w:rsidR="001D1C0A" w:rsidRPr="001D1C0A" w:rsidRDefault="001D1C0A" w:rsidP="001D1C0A">
      <w:pPr>
        <w:spacing w:after="0"/>
        <w:jc w:val="both"/>
        <w:rPr>
          <w:rFonts w:ascii="Sylfaen" w:eastAsia="Calibri" w:hAnsi="Sylfaen" w:cs="Times New Roman"/>
          <w:b/>
          <w:bCs/>
          <w:i/>
          <w:iCs/>
          <w:kern w:val="2"/>
          <w:lang w:val="en-US" w:eastAsia="en-US"/>
        </w:rPr>
      </w:pPr>
      <w:r w:rsidRPr="001D1C0A">
        <w:rPr>
          <w:rFonts w:ascii="Sylfaen" w:eastAsia="Calibri" w:hAnsi="Sylfaen" w:cs="Times New Roman"/>
          <w:b/>
          <w:bCs/>
          <w:i/>
          <w:iCs/>
          <w:kern w:val="2"/>
          <w:lang w:val="en-US" w:eastAsia="en-US"/>
        </w:rPr>
        <w:t xml:space="preserve">Learning competences / objectives </w:t>
      </w:r>
    </w:p>
    <w:p w14:paraId="0372D69B" w14:textId="7547DC6C" w:rsidR="001D1C0A" w:rsidRPr="00076CF7" w:rsidRDefault="001D1C0A" w:rsidP="00076CF7">
      <w:pPr>
        <w:pStyle w:val="bullet"/>
      </w:pPr>
      <w:r w:rsidRPr="00076CF7">
        <w:t>Demonstrate understanding of core theories and frameworks in health education and promotion.</w:t>
      </w:r>
    </w:p>
    <w:p w14:paraId="679FA830" w14:textId="65ADBE26" w:rsidR="001D1C0A" w:rsidRPr="00076CF7" w:rsidRDefault="001D1C0A" w:rsidP="00076CF7">
      <w:pPr>
        <w:pStyle w:val="bullet"/>
      </w:pPr>
      <w:r w:rsidRPr="00076CF7">
        <w:t>Apply participatory, evidence-based, and culturally sensitive approaches to influencing health behaviors, with attention to population needs and local contexts.</w:t>
      </w:r>
    </w:p>
    <w:p w14:paraId="730415E5" w14:textId="32544C9F" w:rsidR="001D1C0A" w:rsidRPr="00076CF7" w:rsidRDefault="001D1C0A" w:rsidP="00076CF7">
      <w:pPr>
        <w:pStyle w:val="bullet"/>
      </w:pPr>
      <w:r w:rsidRPr="00076CF7">
        <w:t>Design and evaluate health promotion interventions aligned with national priorities and epidemiological trends.</w:t>
      </w:r>
    </w:p>
    <w:p w14:paraId="7EC8F7EF" w14:textId="0A74BE6B" w:rsidR="001D1C0A" w:rsidRPr="00076CF7" w:rsidRDefault="001D1C0A" w:rsidP="00076CF7">
      <w:pPr>
        <w:pStyle w:val="bullet"/>
      </w:pPr>
      <w:r w:rsidRPr="00076CF7">
        <w:t>Utilize communication, literacy, and advocacy strategies to promote sustainable behavior change in underserved populations.</w:t>
      </w:r>
    </w:p>
    <w:p w14:paraId="7EDC94DD" w14:textId="1AB739C8" w:rsidR="001D1C0A" w:rsidRPr="00076CF7" w:rsidRDefault="001D1C0A" w:rsidP="00076CF7">
      <w:pPr>
        <w:pStyle w:val="bullet"/>
      </w:pPr>
      <w:r w:rsidRPr="00076CF7">
        <w:t>Co-create interventions that address structural barriers through equity-driven, rights-based, and stakeholder-engaged approaches.</w:t>
      </w:r>
    </w:p>
    <w:p w14:paraId="6F47EB07" w14:textId="7A22B056" w:rsidR="001D1C0A" w:rsidRPr="00076CF7" w:rsidRDefault="001D1C0A" w:rsidP="00076CF7">
      <w:pPr>
        <w:pStyle w:val="bullet"/>
      </w:pPr>
      <w:r w:rsidRPr="00076CF7">
        <w:t>Incorporate intersectional perspectives and inclusive messaging in the development of health education programs that reflect Armenia’s regional, ethnic, gender, and social diversity.</w:t>
      </w:r>
    </w:p>
    <w:p w14:paraId="3510586A" w14:textId="77777777" w:rsidR="001D1C0A" w:rsidRPr="001D1C0A" w:rsidRDefault="001D1C0A" w:rsidP="001D1C0A">
      <w:pPr>
        <w:spacing w:after="0"/>
        <w:jc w:val="both"/>
        <w:rPr>
          <w:rFonts w:ascii="Sylfaen" w:eastAsia="Calibri" w:hAnsi="Sylfaen" w:cs="Times New Roman"/>
          <w:kern w:val="2"/>
          <w:lang w:val="en-US" w:eastAsia="en-US"/>
        </w:rPr>
      </w:pPr>
    </w:p>
    <w:p w14:paraId="4F1CB180" w14:textId="6C988B0C" w:rsidR="001D1C0A" w:rsidRPr="001D1C0A" w:rsidRDefault="001D1C0A" w:rsidP="001D1C0A">
      <w:pPr>
        <w:spacing w:after="0"/>
        <w:jc w:val="both"/>
        <w:rPr>
          <w:rFonts w:ascii="Sylfaen" w:eastAsia="Calibri" w:hAnsi="Sylfaen" w:cs="Times New Roman"/>
          <w:b/>
          <w:bCs/>
          <w:i/>
          <w:iCs/>
          <w:kern w:val="2"/>
          <w:lang w:val="en-US" w:eastAsia="en-US"/>
        </w:rPr>
      </w:pPr>
      <w:r w:rsidRPr="001D1C0A">
        <w:rPr>
          <w:rFonts w:ascii="Sylfaen" w:eastAsia="Calibri" w:hAnsi="Sylfaen" w:cs="Times New Roman"/>
          <w:b/>
          <w:bCs/>
          <w:i/>
          <w:iCs/>
          <w:kern w:val="2"/>
          <w:lang w:val="en-US" w:eastAsia="en-US"/>
        </w:rPr>
        <w:t>Syllabus content</w:t>
      </w:r>
    </w:p>
    <w:p w14:paraId="1AD250EC" w14:textId="73C7E47D" w:rsidR="001D1C0A" w:rsidRPr="00076CF7" w:rsidRDefault="001D1C0A" w:rsidP="00076CF7">
      <w:pPr>
        <w:pStyle w:val="bullet"/>
      </w:pPr>
      <w:r w:rsidRPr="00076CF7">
        <w:t>Theoretical models of health behavior change, including Health Belief Model, Theory of Planned Behavior, and Transtheoretical Model.</w:t>
      </w:r>
    </w:p>
    <w:p w14:paraId="117723E9" w14:textId="37159CC5" w:rsidR="001D1C0A" w:rsidRPr="00076CF7" w:rsidRDefault="001D1C0A" w:rsidP="00076CF7">
      <w:pPr>
        <w:pStyle w:val="bullet"/>
      </w:pPr>
      <w:r w:rsidRPr="00076CF7">
        <w:t>Planning, implementation, and evaluation of health education and promotion programs, with Armenian case examples.</w:t>
      </w:r>
    </w:p>
    <w:p w14:paraId="22A961A3" w14:textId="22934240" w:rsidR="001D1C0A" w:rsidRPr="00076CF7" w:rsidRDefault="001D1C0A" w:rsidP="00076CF7">
      <w:pPr>
        <w:pStyle w:val="bullet"/>
      </w:pPr>
      <w:r w:rsidRPr="00076CF7">
        <w:t>Community-based and participatory approaches: empowerment, stakeholder engagement, and culturally responsive design.</w:t>
      </w:r>
    </w:p>
    <w:p w14:paraId="57136256" w14:textId="4175399F" w:rsidR="001D1C0A" w:rsidRPr="00076CF7" w:rsidRDefault="001D1C0A" w:rsidP="00076CF7">
      <w:pPr>
        <w:pStyle w:val="bullet"/>
      </w:pPr>
      <w:r w:rsidRPr="00076CF7">
        <w:t>Health communication and public health literacy strategies tailored to language, cultural, and regional diversity, including inclusive health messaging and media analysis.</w:t>
      </w:r>
    </w:p>
    <w:p w14:paraId="1DB058F5" w14:textId="6172EDAC" w:rsidR="001D1C0A" w:rsidRPr="00076CF7" w:rsidRDefault="001D1C0A" w:rsidP="00076CF7">
      <w:pPr>
        <w:pStyle w:val="bullet"/>
      </w:pPr>
      <w:r w:rsidRPr="00076CF7">
        <w:t>Advocacy in health promotion: rights-based frameworks, policy influence, and multi-level engagement.</w:t>
      </w:r>
    </w:p>
    <w:p w14:paraId="11516F12" w14:textId="377EE573" w:rsidR="001D1C0A" w:rsidRPr="00076CF7" w:rsidRDefault="001D1C0A" w:rsidP="00076CF7">
      <w:pPr>
        <w:pStyle w:val="bullet"/>
      </w:pPr>
      <w:r w:rsidRPr="00076CF7">
        <w:t>Case studies from Armenia and international campaigns (e.g., tobacco control, maternal health, vaccine confidence).</w:t>
      </w:r>
    </w:p>
    <w:p w14:paraId="7C1EC4A0" w14:textId="0716676F" w:rsidR="001D1C0A" w:rsidRPr="00076CF7" w:rsidRDefault="001D1C0A" w:rsidP="00076CF7">
      <w:pPr>
        <w:pStyle w:val="bullet"/>
      </w:pPr>
      <w:r w:rsidRPr="00076CF7">
        <w:t>Ethical and practical considerations in promoting health equity, autonomy, and culturally aligned interventions, including addressing stigma, gender dynamics, and barriers to access in marginalized groups.</w:t>
      </w:r>
    </w:p>
    <w:p w14:paraId="436A2C14" w14:textId="77777777" w:rsidR="001D1C0A" w:rsidRPr="001D1C0A" w:rsidRDefault="001D1C0A" w:rsidP="001D1C0A">
      <w:pPr>
        <w:spacing w:after="0"/>
        <w:jc w:val="both"/>
        <w:rPr>
          <w:rFonts w:ascii="Sylfaen" w:eastAsia="Calibri" w:hAnsi="Sylfaen" w:cs="Times New Roman"/>
          <w:kern w:val="2"/>
          <w:lang w:val="en-US" w:eastAsia="en-US"/>
        </w:rPr>
      </w:pPr>
    </w:p>
    <w:p w14:paraId="5B29E224" w14:textId="34E1B684"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Reading materials associated with the module.</w:t>
      </w:r>
      <w:r w:rsidRPr="001D1C0A">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4602C70C" w14:textId="77777777" w:rsidR="001D1C0A" w:rsidRPr="00076CF7" w:rsidRDefault="001D1C0A" w:rsidP="00076CF7">
      <w:pPr>
        <w:pStyle w:val="bullet"/>
      </w:pPr>
      <w:r w:rsidRPr="00076CF7">
        <w:t xml:space="preserve">Glanz, K., Rimer, B.K., &amp; Viswanath, K. (eds.) (2015) Health Behavior: Theory, Research, and Practice, 5th </w:t>
      </w:r>
      <w:proofErr w:type="spellStart"/>
      <w:r w:rsidRPr="00076CF7">
        <w:t>edn</w:t>
      </w:r>
      <w:proofErr w:type="spellEnd"/>
      <w:r w:rsidRPr="00076CF7">
        <w:t>, Jossey-Bass.</w:t>
      </w:r>
    </w:p>
    <w:p w14:paraId="1C6E68D2" w14:textId="77777777" w:rsidR="001D1C0A" w:rsidRPr="00076CF7" w:rsidRDefault="001D1C0A" w:rsidP="00076CF7">
      <w:pPr>
        <w:pStyle w:val="bullet"/>
      </w:pPr>
      <w:proofErr w:type="spellStart"/>
      <w:r w:rsidRPr="00076CF7">
        <w:lastRenderedPageBreak/>
        <w:t>Nutbeam</w:t>
      </w:r>
      <w:proofErr w:type="spellEnd"/>
      <w:r w:rsidRPr="00076CF7">
        <w:t xml:space="preserve">, D., &amp; Harris, E. (2004) Theory in a Nutshell: A Practical Guide to Health Promotion Theories, 3rd </w:t>
      </w:r>
      <w:proofErr w:type="spellStart"/>
      <w:r w:rsidRPr="00076CF7">
        <w:t>edn</w:t>
      </w:r>
      <w:proofErr w:type="spellEnd"/>
      <w:r w:rsidRPr="00076CF7">
        <w:t>, McGraw-Hill.</w:t>
      </w:r>
    </w:p>
    <w:p w14:paraId="768272B3" w14:textId="77777777" w:rsidR="001D1C0A" w:rsidRPr="00076CF7" w:rsidRDefault="001D1C0A" w:rsidP="00076CF7">
      <w:pPr>
        <w:pStyle w:val="bullet"/>
      </w:pPr>
      <w:proofErr w:type="spellStart"/>
      <w:r w:rsidRPr="00076CF7">
        <w:t>Ewles</w:t>
      </w:r>
      <w:proofErr w:type="spellEnd"/>
      <w:r w:rsidRPr="00076CF7">
        <w:t xml:space="preserve">, L., &amp; </w:t>
      </w:r>
      <w:proofErr w:type="spellStart"/>
      <w:r w:rsidRPr="00076CF7">
        <w:t>Simnett</w:t>
      </w:r>
      <w:proofErr w:type="spellEnd"/>
      <w:r w:rsidRPr="00076CF7">
        <w:t xml:space="preserve">, I. (2010) Promoting Health: A Practical Guide, 6th </w:t>
      </w:r>
      <w:proofErr w:type="spellStart"/>
      <w:r w:rsidRPr="00076CF7">
        <w:t>edn</w:t>
      </w:r>
      <w:proofErr w:type="spellEnd"/>
      <w:r w:rsidRPr="00076CF7">
        <w:t>, Elsevier.</w:t>
      </w:r>
    </w:p>
    <w:p w14:paraId="48AEA69D" w14:textId="77777777" w:rsidR="001D1C0A" w:rsidRPr="00076CF7" w:rsidRDefault="001D1C0A" w:rsidP="00076CF7">
      <w:pPr>
        <w:pStyle w:val="bullet"/>
      </w:pPr>
      <w:r w:rsidRPr="00076CF7">
        <w:t xml:space="preserve">Naidoo, J., &amp; Wills, J. (2016) Foundations for Health Promotion, 4th </w:t>
      </w:r>
      <w:proofErr w:type="spellStart"/>
      <w:r w:rsidRPr="00076CF7">
        <w:t>edn</w:t>
      </w:r>
      <w:proofErr w:type="spellEnd"/>
      <w:r w:rsidRPr="00076CF7">
        <w:t>, Elsevier.</w:t>
      </w:r>
    </w:p>
    <w:p w14:paraId="3A256F9B" w14:textId="77777777" w:rsidR="001D1C0A" w:rsidRPr="00076CF7" w:rsidRDefault="001D1C0A" w:rsidP="00076CF7">
      <w:pPr>
        <w:pStyle w:val="bullet"/>
      </w:pPr>
      <w:r w:rsidRPr="00076CF7">
        <w:t>World Health Organization. (2016). Shanghai Declaration on Promoting Health in the 2030 Agenda for Sustainable Development. Geneva: WHO. https://www.who.int/publications/i/item/WHO-NMH-PND-17.5</w:t>
      </w:r>
    </w:p>
    <w:p w14:paraId="6E5764A5" w14:textId="77777777" w:rsidR="001D1C0A" w:rsidRPr="00076CF7" w:rsidRDefault="001D1C0A" w:rsidP="00076CF7">
      <w:pPr>
        <w:pStyle w:val="bullet"/>
      </w:pPr>
      <w:r w:rsidRPr="00076CF7">
        <w:t xml:space="preserve">Centers for Disease Control and Prevention (CDC). Health Communication Tools and Campaign Resources. https://www.cdc.gov/health-communication/php/communication-resources/index.html </w:t>
      </w:r>
    </w:p>
    <w:p w14:paraId="53D1BED4" w14:textId="77777777" w:rsidR="001D1C0A" w:rsidRPr="00076CF7" w:rsidRDefault="001D1C0A" w:rsidP="00076CF7">
      <w:pPr>
        <w:pStyle w:val="bullet"/>
      </w:pPr>
      <w:r w:rsidRPr="00076CF7">
        <w:t xml:space="preserve">Ministry of Health, Armenia. National Guidelines and Reports on Health Promotion Campaigns. (e.g., tobacco control, NCD prevention, maternal health). (in Armenian) https://www.moh.am </w:t>
      </w:r>
    </w:p>
    <w:p w14:paraId="195088A3" w14:textId="77777777" w:rsidR="001D1C0A" w:rsidRDefault="001D1C0A" w:rsidP="002133F8">
      <w:pPr>
        <w:spacing w:after="0"/>
        <w:jc w:val="both"/>
        <w:rPr>
          <w:rFonts w:ascii="Sylfaen" w:eastAsia="Calibri" w:hAnsi="Sylfaen" w:cs="Times New Roman"/>
          <w:kern w:val="2"/>
          <w:lang w:val="en-US" w:eastAsia="en-US"/>
        </w:rPr>
      </w:pPr>
    </w:p>
    <w:p w14:paraId="67E1E240" w14:textId="369802AA"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Assessments used</w:t>
      </w:r>
    </w:p>
    <w:p w14:paraId="5FB1B160"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summative assessment consists of a 10-15-minute oral presentation supported by Power Point slides. Students are required to design and present a comprehensive health promotion intervention addressing a selected health issue in a defined population group in Armenia. Interventions must demonstrate integration of behavioral theory, public health literacy strategies, advocacy tools, and culturally appropriate methods, with attention to structural barriers and equity. Selected populations may include communities facing intersecting vulnerabilities such as rural residency, ethnic minority status, gender identity, or displacement.</w:t>
      </w:r>
    </w:p>
    <w:p w14:paraId="3EEEA0F1"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Assessment will evaluate the student’s ability to apply theoretical and practical knowledge to realistic public health challenges, the feasibility and inclusivity of proposed strategies, and the clarity of communication and stakeholder alignment.</w:t>
      </w:r>
    </w:p>
    <w:p w14:paraId="496DE44C" w14:textId="63A11B0F" w:rsid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Formative assessment includes peer feedback on project drafts, in-class simulation of advocacy efforts, small group exercises on community-based design, and case reflections on local and global campaign outcomes.</w:t>
      </w:r>
    </w:p>
    <w:p w14:paraId="0EE1689B" w14:textId="77777777" w:rsidR="005F525D" w:rsidRPr="00916805" w:rsidRDefault="005F525D" w:rsidP="001C1482">
      <w:pPr>
        <w:spacing w:after="0"/>
        <w:rPr>
          <w:rFonts w:ascii="Sylfaen" w:eastAsia="Calibri" w:hAnsi="Sylfaen" w:cs="Times New Roman"/>
          <w:b/>
          <w:bCs/>
          <w:kern w:val="2"/>
          <w:lang w:val="en-US" w:eastAsia="en-US"/>
        </w:rPr>
      </w:pPr>
    </w:p>
    <w:p w14:paraId="248D2E72" w14:textId="0ED893D4" w:rsidR="001A3C5B" w:rsidRPr="00916805" w:rsidRDefault="00CE53C5" w:rsidP="001C1482">
      <w:pPr>
        <w:spacing w:after="0"/>
        <w:rPr>
          <w:rFonts w:ascii="Sylfaen" w:eastAsia="Calibri" w:hAnsi="Sylfaen" w:cs="Times New Roman"/>
          <w:b/>
          <w:bCs/>
          <w:i/>
          <w:iCs/>
          <w:color w:val="4F81BD" w:themeColor="accent1"/>
          <w:kern w:val="2"/>
          <w:u w:val="single"/>
          <w:lang w:val="en-US" w:eastAsia="en-US"/>
        </w:rPr>
      </w:pPr>
      <w:r w:rsidRPr="00CE53C5">
        <w:rPr>
          <w:rFonts w:ascii="Sylfaen" w:eastAsia="Calibri" w:hAnsi="Sylfaen" w:cs="Times New Roman"/>
          <w:b/>
          <w:bCs/>
          <w:i/>
          <w:iCs/>
          <w:color w:val="4F81BD" w:themeColor="accent1"/>
          <w:kern w:val="2"/>
          <w:u w:val="single"/>
          <w:lang w:val="en-US" w:eastAsia="en-US"/>
        </w:rPr>
        <w:t>Health</w:t>
      </w:r>
      <w:r>
        <w:rPr>
          <w:rFonts w:ascii="Sylfaen" w:eastAsia="Calibri" w:hAnsi="Sylfaen" w:cs="Times New Roman"/>
          <w:b/>
          <w:bCs/>
          <w:i/>
          <w:iCs/>
          <w:color w:val="4F81BD" w:themeColor="accent1"/>
          <w:kern w:val="2"/>
          <w:u w:val="single"/>
          <w:lang w:val="en-US" w:eastAsia="en-US"/>
        </w:rPr>
        <w:t>c</w:t>
      </w:r>
      <w:r w:rsidRPr="00CE53C5">
        <w:rPr>
          <w:rFonts w:ascii="Sylfaen" w:eastAsia="Calibri" w:hAnsi="Sylfaen" w:cs="Times New Roman"/>
          <w:b/>
          <w:bCs/>
          <w:i/>
          <w:iCs/>
          <w:color w:val="4F81BD" w:themeColor="accent1"/>
          <w:kern w:val="2"/>
          <w:u w:val="single"/>
          <w:lang w:val="en-US" w:eastAsia="en-US"/>
        </w:rPr>
        <w:t>are Marketing</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210BB23E" w14:textId="44AEAAB3" w:rsidR="00CE53C5" w:rsidRDefault="00CE53C5" w:rsidP="001D1C0A">
      <w:pPr>
        <w:spacing w:after="0"/>
        <w:jc w:val="both"/>
        <w:rPr>
          <w:rFonts w:ascii="Sylfaen" w:eastAsia="Calibri" w:hAnsi="Sylfaen" w:cs="Times New Roman"/>
          <w:kern w:val="2"/>
          <w:lang w:val="en-US" w:eastAsia="en-US"/>
        </w:rPr>
      </w:pPr>
      <w:r w:rsidRPr="00CE53C5">
        <w:rPr>
          <w:rFonts w:ascii="Sylfaen" w:eastAsia="Calibri" w:hAnsi="Sylfaen" w:cs="Times New Roman"/>
          <w:kern w:val="2"/>
          <w:lang w:val="en-US" w:eastAsia="en-US"/>
        </w:rPr>
        <w:t>This module equips students with a critical understanding of marketing principles and their application in public and private healthcare contexts. Students will learn to conduct market research, segment populations, and design strategic communication campaigns that align with organizational objectives and public health priorities. Emphasis is placed on analyzing consumer behavior, leveraging branding and digital outreach, and assessing the effectiveness of marketing strategies, with attention to cultural, legal, and infrastructural considerations specific to Armenia. Practical examples from national health programs and NGO initiatives illustrate the integration of marketing into evidence-informed healthcare delivery and population engagement.</w:t>
      </w:r>
    </w:p>
    <w:p w14:paraId="31744127" w14:textId="58395641" w:rsidR="001D1C0A" w:rsidRPr="001D1C0A" w:rsidRDefault="001D1C0A" w:rsidP="001D1C0A">
      <w:pPr>
        <w:spacing w:after="0"/>
        <w:jc w:val="both"/>
        <w:rPr>
          <w:rFonts w:ascii="Sylfaen" w:eastAsia="Calibri" w:hAnsi="Sylfaen" w:cs="Times New Roman"/>
          <w:b/>
          <w:bCs/>
          <w:i/>
          <w:iCs/>
          <w:kern w:val="2"/>
          <w:lang w:val="en-US" w:eastAsia="en-US"/>
        </w:rPr>
      </w:pPr>
      <w:r w:rsidRPr="001D1C0A">
        <w:rPr>
          <w:rFonts w:ascii="Sylfaen" w:eastAsia="Calibri" w:hAnsi="Sylfaen" w:cs="Times New Roman"/>
          <w:b/>
          <w:bCs/>
          <w:i/>
          <w:iCs/>
          <w:kern w:val="2"/>
          <w:lang w:val="en-US" w:eastAsia="en-US"/>
        </w:rPr>
        <w:t xml:space="preserve">Learning competences / objectives </w:t>
      </w:r>
    </w:p>
    <w:p w14:paraId="53F452E7" w14:textId="277353F6" w:rsidR="001D1C0A" w:rsidRPr="00076CF7" w:rsidRDefault="001D1C0A" w:rsidP="00076CF7">
      <w:pPr>
        <w:pStyle w:val="bullet"/>
      </w:pPr>
      <w:r w:rsidRPr="00076CF7">
        <w:t>Demonstrate understanding of core marketing principles and their application within public and private healthcare settings, including health service promotion in Armenia.</w:t>
      </w:r>
    </w:p>
    <w:p w14:paraId="5F1D4AAC" w14:textId="2E2F635A" w:rsidR="001D1C0A" w:rsidRPr="00076CF7" w:rsidRDefault="001D1C0A" w:rsidP="00076CF7">
      <w:pPr>
        <w:pStyle w:val="bullet"/>
      </w:pPr>
      <w:r w:rsidRPr="00076CF7">
        <w:t>Apply tools for market research, segmentation, and strategic communication tailored to healthcare institutions and population needs.</w:t>
      </w:r>
    </w:p>
    <w:p w14:paraId="01C691C3" w14:textId="50A877B6" w:rsidR="001D1C0A" w:rsidRPr="00076CF7" w:rsidRDefault="001D1C0A" w:rsidP="00076CF7">
      <w:pPr>
        <w:pStyle w:val="bullet"/>
      </w:pPr>
      <w:proofErr w:type="spellStart"/>
      <w:r w:rsidRPr="00076CF7">
        <w:t>Analyse</w:t>
      </w:r>
      <w:proofErr w:type="spellEnd"/>
      <w:r w:rsidRPr="00076CF7">
        <w:t xml:space="preserve"> consumer </w:t>
      </w:r>
      <w:proofErr w:type="spellStart"/>
      <w:r w:rsidRPr="00076CF7">
        <w:t>behaviour</w:t>
      </w:r>
      <w:proofErr w:type="spellEnd"/>
      <w:r w:rsidRPr="00076CF7">
        <w:t xml:space="preserve"> and design targeted health marketing strategies that align with both organizational objectives and public health priorities.</w:t>
      </w:r>
    </w:p>
    <w:p w14:paraId="39D2A12F" w14:textId="0470BDD2" w:rsidR="001D1C0A" w:rsidRPr="00076CF7" w:rsidRDefault="001D1C0A" w:rsidP="00076CF7">
      <w:pPr>
        <w:pStyle w:val="bullet"/>
      </w:pPr>
      <w:r w:rsidRPr="00076CF7">
        <w:t>Critically assess the role of branding, promotion, and digital outreach in healthcare communication, with attention to cultural, legal, and infrastructural considerations in Armenia.</w:t>
      </w:r>
    </w:p>
    <w:p w14:paraId="607E5C85" w14:textId="77777777" w:rsidR="001D1C0A" w:rsidRPr="001D1C0A" w:rsidRDefault="001D1C0A" w:rsidP="001D1C0A">
      <w:pPr>
        <w:spacing w:after="0"/>
        <w:jc w:val="both"/>
        <w:rPr>
          <w:rFonts w:ascii="Sylfaen" w:eastAsia="Calibri" w:hAnsi="Sylfaen" w:cs="Times New Roman"/>
          <w:kern w:val="2"/>
          <w:lang w:val="en-US" w:eastAsia="en-US"/>
        </w:rPr>
      </w:pPr>
    </w:p>
    <w:p w14:paraId="6AB03FFE" w14:textId="2AAEED82"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kern w:val="2"/>
          <w:lang w:val="en-US" w:eastAsia="en-US"/>
        </w:rPr>
        <w:t>Syllabus content.</w:t>
      </w:r>
      <w:r w:rsidRPr="001D1C0A">
        <w:rPr>
          <w:rFonts w:ascii="Sylfaen" w:eastAsia="Calibri" w:hAnsi="Sylfaen" w:cs="Times New Roman"/>
          <w:kern w:val="2"/>
          <w:lang w:val="en-US" w:eastAsia="en-US"/>
        </w:rPr>
        <w:t xml:space="preserve"> </w:t>
      </w:r>
    </w:p>
    <w:p w14:paraId="0693DFC6" w14:textId="20BE5B50" w:rsidR="001D1C0A" w:rsidRPr="00076CF7" w:rsidRDefault="001D1C0A" w:rsidP="00076CF7">
      <w:pPr>
        <w:pStyle w:val="bullet"/>
      </w:pPr>
      <w:r w:rsidRPr="00076CF7">
        <w:t xml:space="preserve">Fundamentals of marketing and consumer </w:t>
      </w:r>
      <w:proofErr w:type="spellStart"/>
      <w:r w:rsidRPr="00076CF7">
        <w:t>behaviour</w:t>
      </w:r>
      <w:proofErr w:type="spellEnd"/>
      <w:r w:rsidRPr="00076CF7">
        <w:t xml:space="preserve"> in healthcare, including characteristics of Armenian health service users</w:t>
      </w:r>
    </w:p>
    <w:p w14:paraId="71FC6301" w14:textId="5AFD38AC" w:rsidR="001D1C0A" w:rsidRPr="00076CF7" w:rsidRDefault="001D1C0A" w:rsidP="00076CF7">
      <w:pPr>
        <w:pStyle w:val="bullet"/>
      </w:pPr>
      <w:r w:rsidRPr="00076CF7">
        <w:t>Strategic marketing planning and the service marketing mix in healthcare institutions</w:t>
      </w:r>
    </w:p>
    <w:p w14:paraId="7A6F006A" w14:textId="4F59A396" w:rsidR="001D1C0A" w:rsidRPr="00076CF7" w:rsidRDefault="001D1C0A" w:rsidP="00076CF7">
      <w:pPr>
        <w:pStyle w:val="bullet"/>
      </w:pPr>
      <w:r w:rsidRPr="00076CF7">
        <w:t>Branding, health communication, and public relations in the context of public trust and healthcare reputation in Armenia</w:t>
      </w:r>
    </w:p>
    <w:p w14:paraId="0F6FE7CF" w14:textId="218BCD75" w:rsidR="001D1C0A" w:rsidRPr="00076CF7" w:rsidRDefault="001D1C0A" w:rsidP="00076CF7">
      <w:pPr>
        <w:pStyle w:val="bullet"/>
      </w:pPr>
      <w:r w:rsidRPr="00076CF7">
        <w:t>Market research, segmentation, and audience targeting using available demographic and health utilization data in Armenia</w:t>
      </w:r>
    </w:p>
    <w:p w14:paraId="531CA912" w14:textId="6B7F3DAE" w:rsidR="001D1C0A" w:rsidRPr="00076CF7" w:rsidRDefault="001D1C0A" w:rsidP="00076CF7">
      <w:pPr>
        <w:pStyle w:val="bullet"/>
      </w:pPr>
      <w:r w:rsidRPr="00076CF7">
        <w:t>Campaign development and promotional strategies for health services, including examples from Ministry of Health initiatives and NGO campaigns</w:t>
      </w:r>
    </w:p>
    <w:p w14:paraId="0D8EEC36" w14:textId="21E0E6B1" w:rsidR="001D1C0A" w:rsidRPr="00076CF7" w:rsidRDefault="001D1C0A" w:rsidP="00076CF7">
      <w:pPr>
        <w:pStyle w:val="bullet"/>
      </w:pPr>
      <w:r w:rsidRPr="00076CF7">
        <w:t>Digital marketing tools and technologies in healthcare outreach, with attention to adoption challenges in rural and underserved areas</w:t>
      </w:r>
    </w:p>
    <w:p w14:paraId="3F0890D6" w14:textId="23BAC675" w:rsidR="001D1C0A" w:rsidRPr="00076CF7" w:rsidRDefault="001D1C0A" w:rsidP="00076CF7">
      <w:pPr>
        <w:pStyle w:val="bullet"/>
      </w:pPr>
      <w:r w:rsidRPr="00076CF7">
        <w:t>Evaluation of marketing effectiveness, including impact measurement on patient engagement and service uptake in Armenian healthcare settings.</w:t>
      </w:r>
    </w:p>
    <w:p w14:paraId="46A92494" w14:textId="77777777" w:rsidR="001D1C0A" w:rsidRPr="001D1C0A" w:rsidRDefault="001D1C0A" w:rsidP="001D1C0A">
      <w:pPr>
        <w:spacing w:after="0"/>
        <w:jc w:val="both"/>
        <w:rPr>
          <w:rFonts w:ascii="Sylfaen" w:eastAsia="Calibri" w:hAnsi="Sylfaen" w:cs="Times New Roman"/>
          <w:kern w:val="2"/>
          <w:lang w:val="en-US" w:eastAsia="en-US"/>
        </w:rPr>
      </w:pPr>
    </w:p>
    <w:p w14:paraId="61ED1C81" w14:textId="38878FDB"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Reading materials associated with the module.</w:t>
      </w:r>
      <w:r w:rsidRPr="001D1C0A">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11529F44" w14:textId="77777777" w:rsidR="001D1C0A" w:rsidRPr="001D1C0A" w:rsidRDefault="001D1C0A" w:rsidP="00076CF7">
      <w:pPr>
        <w:pStyle w:val="bullet"/>
      </w:pPr>
      <w:r w:rsidRPr="001D1C0A">
        <w:t xml:space="preserve">Thomas, R.K. (2018) Health Services Marketing: A Practitioner’s Guide, 4th </w:t>
      </w:r>
      <w:proofErr w:type="spellStart"/>
      <w:r w:rsidRPr="001D1C0A">
        <w:t>edn</w:t>
      </w:r>
      <w:proofErr w:type="spellEnd"/>
      <w:r w:rsidRPr="001D1C0A">
        <w:t>, Health Administration Press.</w:t>
      </w:r>
    </w:p>
    <w:p w14:paraId="116D4DAC" w14:textId="77777777" w:rsidR="001D1C0A" w:rsidRPr="001D1C0A" w:rsidRDefault="001D1C0A" w:rsidP="00076CF7">
      <w:pPr>
        <w:pStyle w:val="bullet"/>
      </w:pPr>
      <w:r w:rsidRPr="001D1C0A">
        <w:t>Kotler, P., Shalowitz, J., &amp; Stevens, R.J. (2008) Strategic Marketing for Health Care Organizations: Building a Customer-Driven Health System, Jossey-Bass.</w:t>
      </w:r>
    </w:p>
    <w:p w14:paraId="02E8AC3D" w14:textId="77777777" w:rsidR="001D1C0A" w:rsidRPr="001D1C0A" w:rsidRDefault="001D1C0A" w:rsidP="00076CF7">
      <w:pPr>
        <w:pStyle w:val="bullet"/>
      </w:pPr>
      <w:r w:rsidRPr="001D1C0A">
        <w:t xml:space="preserve">Berkowitz, E.N. (2016). Essentials of Health Care Marketing, 4th </w:t>
      </w:r>
      <w:proofErr w:type="spellStart"/>
      <w:r w:rsidRPr="001D1C0A">
        <w:t>edn</w:t>
      </w:r>
      <w:proofErr w:type="spellEnd"/>
      <w:r w:rsidRPr="001D1C0A">
        <w:t>, Jones &amp; Bartlett.</w:t>
      </w:r>
    </w:p>
    <w:p w14:paraId="15B1AE7C" w14:textId="77777777" w:rsidR="001D1C0A" w:rsidRPr="001D1C0A" w:rsidRDefault="001D1C0A" w:rsidP="00076CF7">
      <w:pPr>
        <w:pStyle w:val="bullet"/>
      </w:pPr>
      <w:r w:rsidRPr="001D1C0A">
        <w:t xml:space="preserve">Lee, N.R. &amp; Kotler, P. (2015) Social Marketing: Changing Behaviors for Good, 5th </w:t>
      </w:r>
      <w:proofErr w:type="spellStart"/>
      <w:r w:rsidRPr="001D1C0A">
        <w:t>edn</w:t>
      </w:r>
      <w:proofErr w:type="spellEnd"/>
      <w:r w:rsidRPr="001D1C0A">
        <w:t>, SAGE Publications.</w:t>
      </w:r>
    </w:p>
    <w:p w14:paraId="22FA62C9" w14:textId="77777777" w:rsidR="001D1C0A" w:rsidRPr="001D1C0A" w:rsidRDefault="001D1C0A" w:rsidP="00076CF7">
      <w:pPr>
        <w:pStyle w:val="bullet"/>
      </w:pPr>
      <w:r w:rsidRPr="001D1C0A">
        <w:t xml:space="preserve">Ventola, C.L. (2014). Social media and health care professionals: benefits, risks, and best practices. Pharmacy and Therapeutics, 39(7), 491–520. https://pmc.ncbi.nlm.nih.gov/articles/PMC4103576/ </w:t>
      </w:r>
    </w:p>
    <w:p w14:paraId="44049339" w14:textId="77777777" w:rsidR="001D1C0A" w:rsidRPr="001D1C0A" w:rsidRDefault="001D1C0A" w:rsidP="00076CF7">
      <w:pPr>
        <w:pStyle w:val="bullet"/>
      </w:pPr>
      <w:r w:rsidRPr="001D1C0A">
        <w:t>Ministry of Health of the Republic of Armenia. (2019). Health Communication and Awareness Strategy (in Armenian). https://moh.am</w:t>
      </w:r>
    </w:p>
    <w:p w14:paraId="12F795E1" w14:textId="77777777" w:rsidR="001D1C0A" w:rsidRPr="001D1C0A" w:rsidRDefault="001D1C0A" w:rsidP="00076CF7">
      <w:pPr>
        <w:pStyle w:val="bullet"/>
      </w:pPr>
      <w:r w:rsidRPr="001D1C0A">
        <w:t xml:space="preserve">National Center for Disease Control and Prevention (Armenia). Selected Public Campaign Reports and Health Promotion Materials http://www.ncdc.am/ </w:t>
      </w:r>
    </w:p>
    <w:p w14:paraId="376B0523" w14:textId="3A9744DB" w:rsidR="001D1C0A" w:rsidRPr="001D1C0A" w:rsidRDefault="001D1C0A" w:rsidP="00076CF7">
      <w:pPr>
        <w:pStyle w:val="bullet"/>
      </w:pPr>
      <w:r w:rsidRPr="001D1C0A">
        <w:t>Armenian legislation on advertising of medical services and pharmaceuticals.</w:t>
      </w:r>
    </w:p>
    <w:p w14:paraId="536E6821" w14:textId="77777777" w:rsidR="001D1C0A" w:rsidRDefault="001D1C0A" w:rsidP="001D1C0A">
      <w:pPr>
        <w:spacing w:after="0"/>
        <w:jc w:val="both"/>
        <w:rPr>
          <w:rFonts w:ascii="Sylfaen" w:eastAsia="Calibri" w:hAnsi="Sylfaen" w:cs="Times New Roman"/>
          <w:b/>
          <w:bCs/>
          <w:i/>
          <w:iCs/>
          <w:kern w:val="2"/>
          <w:lang w:val="en-US" w:eastAsia="en-US"/>
        </w:rPr>
      </w:pPr>
    </w:p>
    <w:p w14:paraId="319995C5" w14:textId="43A2B108"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b/>
          <w:bCs/>
          <w:i/>
          <w:iCs/>
          <w:kern w:val="2"/>
          <w:lang w:val="en-US" w:eastAsia="en-US"/>
        </w:rPr>
        <w:t>Assessments used</w:t>
      </w:r>
    </w:p>
    <w:p w14:paraId="6C136295"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The summative assessment for this module consists of a paper-based 50-item test composed exclusively of close-ended questions designed to assess students’ theoretical knowledge and applied understanding of healthcare marketing concepts. The test includes:</w:t>
      </w:r>
    </w:p>
    <w:p w14:paraId="3EB9DAED" w14:textId="03C901E3" w:rsidR="001D1C0A" w:rsidRPr="00076CF7" w:rsidRDefault="001D1C0A" w:rsidP="00076CF7">
      <w:pPr>
        <w:pStyle w:val="bullet"/>
      </w:pPr>
      <w:r w:rsidRPr="00076CF7">
        <w:t>Multiple-choice questions (MCQs) assessing comprehension of marketing principles, terminology, and strategic frameworks in healthcare;</w:t>
      </w:r>
    </w:p>
    <w:p w14:paraId="7B10860B" w14:textId="0FF744A9" w:rsidR="001D1C0A" w:rsidRPr="00076CF7" w:rsidRDefault="001D1C0A" w:rsidP="00076CF7">
      <w:pPr>
        <w:pStyle w:val="bullet"/>
      </w:pPr>
      <w:r w:rsidRPr="00076CF7">
        <w:t>Single-best-answer questions, requiring students to identify the most appropriate marketing strategy, segmentation approach, or communication tool for a given scenario;</w:t>
      </w:r>
    </w:p>
    <w:p w14:paraId="43F34CEE" w14:textId="71EFEA09" w:rsidR="001D1C0A" w:rsidRPr="00076CF7" w:rsidRDefault="001D1C0A" w:rsidP="00076CF7">
      <w:pPr>
        <w:pStyle w:val="bullet"/>
      </w:pPr>
      <w:r w:rsidRPr="00076CF7">
        <w:lastRenderedPageBreak/>
        <w:t>Exception-type questions, asking students to recognize elements that do not align with effective or ethical healthcare marketing practices.</w:t>
      </w:r>
    </w:p>
    <w:p w14:paraId="67DB26E4"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To successfully complete the module, students must achieve a score of more than 50% correct responses.</w:t>
      </w:r>
    </w:p>
    <w:p w14:paraId="5D6FF043" w14:textId="77777777" w:rsidR="001D1C0A" w:rsidRP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Assessment will evaluate the student’s comprehension of core marketing principles, ability to apply strategic tools in healthcare contexts, and understanding of audience targeting and communication methods within health services.</w:t>
      </w:r>
    </w:p>
    <w:p w14:paraId="1299EE43" w14:textId="2A6128B6" w:rsidR="001D1C0A" w:rsidRDefault="001D1C0A" w:rsidP="001D1C0A">
      <w:pPr>
        <w:spacing w:after="0"/>
        <w:jc w:val="both"/>
        <w:rPr>
          <w:rFonts w:ascii="Sylfaen" w:eastAsia="Calibri" w:hAnsi="Sylfaen" w:cs="Times New Roman"/>
          <w:kern w:val="2"/>
          <w:lang w:val="en-US" w:eastAsia="en-US"/>
        </w:rPr>
      </w:pPr>
      <w:r w:rsidRPr="001D1C0A">
        <w:rPr>
          <w:rFonts w:ascii="Sylfaen" w:eastAsia="Calibri" w:hAnsi="Sylfaen" w:cs="Times New Roman"/>
          <w:kern w:val="2"/>
          <w:lang w:val="en-US" w:eastAsia="en-US"/>
        </w:rPr>
        <w:t>Formative assessment includes structured in-class discussions, short quizzes on marketing concepts, and scenario-based exercises that help students apply market segmentation, messaging strategies, and branding techniques in healthcare settings, including examples drawn from national and regional health campaigns.</w:t>
      </w:r>
    </w:p>
    <w:p w14:paraId="278402C4" w14:textId="77777777" w:rsidR="001D1C0A" w:rsidRPr="00916805" w:rsidRDefault="001D1C0A" w:rsidP="001D1C0A">
      <w:pPr>
        <w:spacing w:after="0"/>
        <w:jc w:val="both"/>
        <w:rPr>
          <w:rFonts w:ascii="Sylfaen" w:eastAsia="Calibri" w:hAnsi="Sylfaen" w:cs="Times New Roman"/>
          <w:b/>
          <w:bCs/>
          <w:kern w:val="2"/>
          <w:lang w:val="en-US" w:eastAsia="en-US"/>
        </w:rPr>
      </w:pPr>
    </w:p>
    <w:p w14:paraId="4F94E107" w14:textId="508A8C15" w:rsidR="00FD0455" w:rsidRDefault="00FD0455" w:rsidP="001C1482">
      <w:pPr>
        <w:spacing w:after="0"/>
        <w:rPr>
          <w:rFonts w:ascii="Sylfaen" w:eastAsia="Calibri" w:hAnsi="Sylfaen" w:cs="Times New Roman"/>
          <w:b/>
          <w:bCs/>
          <w:i/>
          <w:iCs/>
          <w:color w:val="4F81BD" w:themeColor="accent1"/>
          <w:kern w:val="2"/>
          <w:u w:val="single"/>
          <w:lang w:val="en-US" w:eastAsia="en-US"/>
        </w:rPr>
      </w:pPr>
      <w:r w:rsidRPr="00FD0455">
        <w:rPr>
          <w:rFonts w:ascii="Sylfaen" w:eastAsia="Calibri" w:hAnsi="Sylfaen" w:cs="Times New Roman"/>
          <w:b/>
          <w:bCs/>
          <w:i/>
          <w:iCs/>
          <w:color w:val="4F81BD" w:themeColor="accent1"/>
          <w:kern w:val="2"/>
          <w:u w:val="single"/>
          <w:lang w:val="en-US" w:eastAsia="en-US"/>
        </w:rPr>
        <w:t xml:space="preserve">Digital Health </w:t>
      </w:r>
      <w:r w:rsidR="00E63A5D" w:rsidRPr="00E63A5D">
        <w:rPr>
          <w:rFonts w:ascii="Sylfaen" w:eastAsia="Calibri" w:hAnsi="Sylfaen" w:cs="Times New Roman"/>
          <w:b/>
          <w:bCs/>
          <w:i/>
          <w:iCs/>
          <w:color w:val="4F81BD" w:themeColor="accent1"/>
          <w:kern w:val="2"/>
          <w:u w:val="single"/>
          <w:lang w:val="en-US" w:eastAsia="en-US"/>
        </w:rPr>
        <w:t>(3 credits)</w:t>
      </w:r>
    </w:p>
    <w:p w14:paraId="7544E285" w14:textId="549988DA" w:rsidR="001A3C5B" w:rsidRDefault="00FD0455" w:rsidP="002133F8">
      <w:pPr>
        <w:spacing w:after="0"/>
        <w:jc w:val="both"/>
        <w:rPr>
          <w:rFonts w:ascii="Sylfaen" w:eastAsia="Calibri" w:hAnsi="Sylfaen" w:cs="Times New Roman"/>
          <w:kern w:val="2"/>
          <w:lang w:val="en-US" w:eastAsia="en-US"/>
        </w:rPr>
      </w:pPr>
      <w:r w:rsidRPr="00FD0455">
        <w:rPr>
          <w:rFonts w:ascii="Sylfaen" w:eastAsia="Calibri" w:hAnsi="Sylfaen" w:cs="Times New Roman"/>
          <w:kern w:val="2"/>
          <w:lang w:val="en-US" w:eastAsia="en-US"/>
        </w:rPr>
        <w:t xml:space="preserve">This module provides students with a comprehensive understanding of digital health technologies and their applications in healthcare and public health, with particular reference to Armenia’s e-health system. Students will critically evaluate the planning, financing, and governance of digital health initiatives, and assess how digital tools enhance care delivery, surveillance, and population health outcomes. The module emphasizes ethical, legal, and regulatory considerations, including national and international standards, and explores digital literacy, equity, and inclusion in access to digital health services. Students will also examine </w:t>
      </w:r>
      <w:proofErr w:type="spellStart"/>
      <w:r w:rsidRPr="00FD0455">
        <w:rPr>
          <w:rFonts w:ascii="Sylfaen" w:eastAsia="Calibri" w:hAnsi="Sylfaen" w:cs="Times New Roman"/>
          <w:kern w:val="2"/>
          <w:lang w:val="en-US" w:eastAsia="en-US"/>
        </w:rPr>
        <w:t>infodemiology</w:t>
      </w:r>
      <w:proofErr w:type="spellEnd"/>
      <w:r w:rsidRPr="00FD0455">
        <w:rPr>
          <w:rFonts w:ascii="Sylfaen" w:eastAsia="Calibri" w:hAnsi="Sylfaen" w:cs="Times New Roman"/>
          <w:kern w:val="2"/>
          <w:lang w:val="en-US" w:eastAsia="en-US"/>
        </w:rPr>
        <w:t xml:space="preserve"> principles to monitor and respond to health misinformation, applying evidence-based strategies and case studies to strengthen system performance and public engagement.</w:t>
      </w:r>
    </w:p>
    <w:p w14:paraId="6423FCB1" w14:textId="790CB87D" w:rsidR="00411CB4" w:rsidRPr="00411CB4" w:rsidRDefault="00411CB4" w:rsidP="00411CB4">
      <w:pPr>
        <w:spacing w:after="0"/>
        <w:jc w:val="both"/>
        <w:rPr>
          <w:rFonts w:ascii="Sylfaen" w:eastAsia="Calibri" w:hAnsi="Sylfaen" w:cs="Times New Roman"/>
          <w:b/>
          <w:bCs/>
          <w:i/>
          <w:iCs/>
          <w:kern w:val="2"/>
          <w:lang w:val="en-US" w:eastAsia="en-US"/>
        </w:rPr>
      </w:pPr>
      <w:r w:rsidRPr="00411CB4">
        <w:rPr>
          <w:rFonts w:ascii="Sylfaen" w:eastAsia="Calibri" w:hAnsi="Sylfaen" w:cs="Times New Roman"/>
          <w:b/>
          <w:bCs/>
          <w:i/>
          <w:iCs/>
          <w:kern w:val="2"/>
          <w:lang w:val="en-US" w:eastAsia="en-US"/>
        </w:rPr>
        <w:t xml:space="preserve">Learning competences / objectives </w:t>
      </w:r>
    </w:p>
    <w:p w14:paraId="53A1FF8C" w14:textId="6BF14294" w:rsidR="00411CB4" w:rsidRPr="00076CF7" w:rsidRDefault="00411CB4" w:rsidP="00076CF7">
      <w:pPr>
        <w:pStyle w:val="bullet"/>
      </w:pPr>
      <w:r w:rsidRPr="00076CF7">
        <w:t>Demonstrate understanding of the principles, components, and applications of digital health technologies in healthcare and public health, including Armenia’s e-health system.</w:t>
      </w:r>
    </w:p>
    <w:p w14:paraId="08D57142" w14:textId="449355B7" w:rsidR="00411CB4" w:rsidRPr="00076CF7" w:rsidRDefault="00411CB4" w:rsidP="00076CF7">
      <w:pPr>
        <w:pStyle w:val="bullet"/>
      </w:pPr>
      <w:r w:rsidRPr="00076CF7">
        <w:t>Critically evaluate planning, financing, and governance models for digital health initiatives across national and international health systems.</w:t>
      </w:r>
    </w:p>
    <w:p w14:paraId="7F66AAD1" w14:textId="7A3FDBDE" w:rsidR="00411CB4" w:rsidRPr="00076CF7" w:rsidRDefault="00871D6D" w:rsidP="00076CF7">
      <w:pPr>
        <w:pStyle w:val="bullet"/>
      </w:pPr>
      <w:r w:rsidRPr="00076CF7">
        <w:t>Analyze</w:t>
      </w:r>
      <w:r w:rsidR="00411CB4" w:rsidRPr="00076CF7">
        <w:t xml:space="preserve"> how digital tools improve care delivery, data systems, and population health outcomes.</w:t>
      </w:r>
    </w:p>
    <w:p w14:paraId="20B41CD2" w14:textId="15DCEA90" w:rsidR="00411CB4" w:rsidRPr="00076CF7" w:rsidRDefault="00411CB4" w:rsidP="00076CF7">
      <w:pPr>
        <w:pStyle w:val="bullet"/>
      </w:pPr>
      <w:r w:rsidRPr="00076CF7">
        <w:t>Apply ethical, legal, and regulatory frameworks to assess digital health systems, referencing Armenian and international standards.</w:t>
      </w:r>
    </w:p>
    <w:p w14:paraId="38C278BC" w14:textId="2535DC36" w:rsidR="00411CB4" w:rsidRPr="00076CF7" w:rsidRDefault="00411CB4" w:rsidP="00076CF7">
      <w:pPr>
        <w:pStyle w:val="bullet"/>
      </w:pPr>
      <w:r w:rsidRPr="00076CF7">
        <w:t>Assess the impact of digital technologies on equity, access, and system performance, with attention to Armenia’s public health challenges.</w:t>
      </w:r>
    </w:p>
    <w:p w14:paraId="179E92F9" w14:textId="10C4FD6A" w:rsidR="00411CB4" w:rsidRPr="00076CF7" w:rsidRDefault="00411CB4" w:rsidP="00076CF7">
      <w:pPr>
        <w:pStyle w:val="bullet"/>
      </w:pPr>
      <w:r w:rsidRPr="00076CF7">
        <w:t xml:space="preserve">Critically evaluate the role of </w:t>
      </w:r>
      <w:proofErr w:type="spellStart"/>
      <w:r w:rsidRPr="00076CF7">
        <w:t>infodemiology</w:t>
      </w:r>
      <w:proofErr w:type="spellEnd"/>
      <w:r w:rsidRPr="00076CF7">
        <w:t xml:space="preserve"> in responding to digital health misinformation during health crises.</w:t>
      </w:r>
    </w:p>
    <w:p w14:paraId="397929A8" w14:textId="0F0741AF" w:rsidR="00411CB4" w:rsidRPr="00076CF7" w:rsidRDefault="00871D6D" w:rsidP="00076CF7">
      <w:pPr>
        <w:pStyle w:val="bullet"/>
      </w:pPr>
      <w:r w:rsidRPr="00076CF7">
        <w:t>Analyze</w:t>
      </w:r>
      <w:r w:rsidR="00411CB4" w:rsidRPr="00076CF7">
        <w:t xml:space="preserve"> digital platforms for public engagement, health promotion, and surveillance, focusing on digital literacy and inclusion.</w:t>
      </w:r>
    </w:p>
    <w:p w14:paraId="783FEBA4" w14:textId="77777777" w:rsidR="00411CB4" w:rsidRPr="00411CB4" w:rsidRDefault="00411CB4" w:rsidP="00411CB4">
      <w:pPr>
        <w:spacing w:after="0"/>
        <w:jc w:val="both"/>
        <w:rPr>
          <w:rFonts w:ascii="Sylfaen" w:eastAsia="Calibri" w:hAnsi="Sylfaen" w:cs="Times New Roman"/>
          <w:kern w:val="2"/>
          <w:lang w:val="en-US" w:eastAsia="en-US"/>
        </w:rPr>
      </w:pPr>
    </w:p>
    <w:p w14:paraId="473FFC12" w14:textId="1AB0942E" w:rsidR="00411CB4" w:rsidRPr="00871D6D" w:rsidRDefault="00411CB4" w:rsidP="00411CB4">
      <w:pPr>
        <w:spacing w:after="0"/>
        <w:jc w:val="both"/>
        <w:rPr>
          <w:rFonts w:ascii="Sylfaen" w:eastAsia="Calibri" w:hAnsi="Sylfaen" w:cs="Times New Roman"/>
          <w:b/>
          <w:bCs/>
          <w:i/>
          <w:iCs/>
          <w:kern w:val="2"/>
          <w:lang w:val="en-US" w:eastAsia="en-US"/>
        </w:rPr>
      </w:pPr>
      <w:r w:rsidRPr="00871D6D">
        <w:rPr>
          <w:rFonts w:ascii="Sylfaen" w:eastAsia="Calibri" w:hAnsi="Sylfaen" w:cs="Times New Roman"/>
          <w:b/>
          <w:bCs/>
          <w:i/>
          <w:iCs/>
          <w:kern w:val="2"/>
          <w:lang w:val="en-US" w:eastAsia="en-US"/>
        </w:rPr>
        <w:t>Syllabus content</w:t>
      </w:r>
    </w:p>
    <w:p w14:paraId="7CB6245D" w14:textId="3B04D1C3" w:rsidR="00411CB4" w:rsidRPr="00076CF7" w:rsidRDefault="00411CB4" w:rsidP="00076CF7">
      <w:pPr>
        <w:pStyle w:val="bullet"/>
      </w:pPr>
      <w:r w:rsidRPr="00076CF7">
        <w:t>Foundations of digital health: eHealth, mHealth, telemedicine, and electronic health records (with ARMED as case study).</w:t>
      </w:r>
    </w:p>
    <w:p w14:paraId="729DFE37" w14:textId="206A2DEF" w:rsidR="00411CB4" w:rsidRPr="00076CF7" w:rsidRDefault="00411CB4" w:rsidP="00076CF7">
      <w:pPr>
        <w:pStyle w:val="bullet"/>
      </w:pPr>
      <w:r w:rsidRPr="00076CF7">
        <w:t>Governance, financing, and strategic planning of digital health programs, including Armenian national frameworks.</w:t>
      </w:r>
    </w:p>
    <w:p w14:paraId="322E7CB1" w14:textId="23802BB6" w:rsidR="00411CB4" w:rsidRPr="00076CF7" w:rsidRDefault="00411CB4" w:rsidP="00076CF7">
      <w:pPr>
        <w:pStyle w:val="bullet"/>
      </w:pPr>
      <w:r w:rsidRPr="00076CF7">
        <w:t>Use of digital tools in care, surveillance, and health system strengthening during crises such as COVID-19.</w:t>
      </w:r>
    </w:p>
    <w:p w14:paraId="3C725DC1" w14:textId="5DC0BA09" w:rsidR="00411CB4" w:rsidRPr="00076CF7" w:rsidRDefault="00411CB4" w:rsidP="00076CF7">
      <w:pPr>
        <w:pStyle w:val="bullet"/>
      </w:pPr>
      <w:r w:rsidRPr="00076CF7">
        <w:t>Health information systems: standards, interoperability, data integration, and privacy protection (GDPR and Armenian law).</w:t>
      </w:r>
    </w:p>
    <w:p w14:paraId="0A838B96" w14:textId="69DF5966" w:rsidR="00411CB4" w:rsidRPr="00076CF7" w:rsidRDefault="00411CB4" w:rsidP="00076CF7">
      <w:pPr>
        <w:pStyle w:val="bullet"/>
      </w:pPr>
      <w:r w:rsidRPr="00076CF7">
        <w:lastRenderedPageBreak/>
        <w:t>Digital literacy, inclusion, and equity: addressing disparities in access and engagement.</w:t>
      </w:r>
    </w:p>
    <w:p w14:paraId="738E9E21" w14:textId="5D873795" w:rsidR="00411CB4" w:rsidRPr="00076CF7" w:rsidRDefault="00411CB4" w:rsidP="00076CF7">
      <w:pPr>
        <w:pStyle w:val="bullet"/>
      </w:pPr>
      <w:proofErr w:type="spellStart"/>
      <w:r w:rsidRPr="00076CF7">
        <w:t>Infodemiology</w:t>
      </w:r>
      <w:proofErr w:type="spellEnd"/>
      <w:r w:rsidRPr="00076CF7">
        <w:t>: monitoring and managing digital misinformation in public health.</w:t>
      </w:r>
    </w:p>
    <w:p w14:paraId="4155515F" w14:textId="5FACF674" w:rsidR="00411CB4" w:rsidRPr="00076CF7" w:rsidRDefault="00411CB4" w:rsidP="00076CF7">
      <w:pPr>
        <w:pStyle w:val="bullet"/>
      </w:pPr>
      <w:r w:rsidRPr="00076CF7">
        <w:t>WHO infodemic management framework: detection, monitoring, response, and evaluation of health misinformation using evidence-based tools and digital community engagement strategies.</w:t>
      </w:r>
    </w:p>
    <w:p w14:paraId="011F8D3F" w14:textId="61217D37" w:rsidR="00411CB4" w:rsidRPr="00076CF7" w:rsidRDefault="00411CB4" w:rsidP="00076CF7">
      <w:pPr>
        <w:pStyle w:val="bullet"/>
      </w:pPr>
      <w:r w:rsidRPr="00076CF7">
        <w:t>Evaluation of digital health interventions using implementation science frameworks.</w:t>
      </w:r>
    </w:p>
    <w:p w14:paraId="327A544C" w14:textId="26AA5FA5" w:rsidR="00411CB4" w:rsidRPr="00076CF7" w:rsidRDefault="00411CB4" w:rsidP="00076CF7">
      <w:pPr>
        <w:pStyle w:val="bullet"/>
      </w:pPr>
      <w:r w:rsidRPr="00076CF7">
        <w:t>Case studies from Armenia and comparable health systems illustrating success factors and barriers to digital transformation.</w:t>
      </w:r>
    </w:p>
    <w:p w14:paraId="1A00BA1C" w14:textId="77777777" w:rsidR="00411CB4" w:rsidRPr="00411CB4" w:rsidRDefault="00411CB4" w:rsidP="00411CB4">
      <w:pPr>
        <w:spacing w:after="0"/>
        <w:jc w:val="both"/>
        <w:rPr>
          <w:rFonts w:ascii="Sylfaen" w:eastAsia="Calibri" w:hAnsi="Sylfaen" w:cs="Times New Roman"/>
          <w:kern w:val="2"/>
          <w:lang w:val="en-US" w:eastAsia="en-US"/>
        </w:rPr>
      </w:pPr>
    </w:p>
    <w:p w14:paraId="28F082A0" w14:textId="66A41789" w:rsidR="00411CB4" w:rsidRPr="00411CB4" w:rsidRDefault="00871D6D" w:rsidP="00411CB4">
      <w:pPr>
        <w:spacing w:after="0"/>
        <w:jc w:val="both"/>
        <w:rPr>
          <w:rFonts w:ascii="Sylfaen" w:eastAsia="Calibri" w:hAnsi="Sylfaen" w:cs="Times New Roman"/>
          <w:kern w:val="2"/>
          <w:lang w:val="en-US" w:eastAsia="en-US"/>
        </w:rPr>
      </w:pPr>
      <w:r w:rsidRPr="00871D6D">
        <w:rPr>
          <w:rFonts w:ascii="Sylfaen" w:eastAsia="Calibri" w:hAnsi="Sylfaen" w:cs="Times New Roman"/>
          <w:b/>
          <w:bCs/>
          <w:i/>
          <w:iCs/>
          <w:kern w:val="2"/>
          <w:lang w:val="en-US" w:eastAsia="en-US"/>
        </w:rPr>
        <w:t>R</w:t>
      </w:r>
      <w:r w:rsidR="00411CB4" w:rsidRPr="00871D6D">
        <w:rPr>
          <w:rFonts w:ascii="Sylfaen" w:eastAsia="Calibri" w:hAnsi="Sylfaen" w:cs="Times New Roman"/>
          <w:b/>
          <w:bCs/>
          <w:i/>
          <w:iCs/>
          <w:kern w:val="2"/>
          <w:lang w:val="en-US" w:eastAsia="en-US"/>
        </w:rPr>
        <w:t xml:space="preserve">eading materials associated with the module. </w:t>
      </w:r>
      <w:r w:rsidR="00411CB4" w:rsidRPr="00411CB4">
        <w:rPr>
          <w:rFonts w:ascii="Sylfaen" w:eastAsia="Calibri" w:hAnsi="Sylfaen" w:cs="Times New Roman"/>
          <w:kern w:val="2"/>
          <w:lang w:val="en-US" w:eastAsia="en-US"/>
        </w:rPr>
        <w:t>Note: Course is taught in Armenian. The following international sources are used by faculty to prepare Armenian-language content. Armenian sources are listed with translated titles.</w:t>
      </w:r>
    </w:p>
    <w:p w14:paraId="211DA532" w14:textId="77777777" w:rsidR="00411CB4" w:rsidRPr="00871D6D" w:rsidRDefault="00411CB4" w:rsidP="00076CF7">
      <w:pPr>
        <w:pStyle w:val="bullet"/>
      </w:pPr>
      <w:r w:rsidRPr="00871D6D">
        <w:t xml:space="preserve">Latifi, R., </w:t>
      </w:r>
      <w:proofErr w:type="spellStart"/>
      <w:r w:rsidRPr="00871D6D">
        <w:t>Doarn</w:t>
      </w:r>
      <w:proofErr w:type="spellEnd"/>
      <w:r w:rsidRPr="00871D6D">
        <w:t>, C.</w:t>
      </w:r>
      <w:r w:rsidRPr="00871D6D">
        <w:rPr>
          <w:rFonts w:ascii="Times New Roman" w:hAnsi="Times New Roman"/>
        </w:rPr>
        <w:t> </w:t>
      </w:r>
      <w:r w:rsidRPr="00871D6D">
        <w:t>R., &amp; Merrell, R.</w:t>
      </w:r>
      <w:r w:rsidRPr="00871D6D">
        <w:rPr>
          <w:rFonts w:ascii="Times New Roman" w:hAnsi="Times New Roman"/>
        </w:rPr>
        <w:t> </w:t>
      </w:r>
      <w:r w:rsidRPr="00871D6D">
        <w:t>C. (Eds.). (2020). Telemedicine, Telehealth and Telepresence: Principles, Strategies, Applications, and New Directions. Springer.</w:t>
      </w:r>
    </w:p>
    <w:p w14:paraId="6F9506C7" w14:textId="77777777" w:rsidR="00411CB4" w:rsidRPr="00871D6D" w:rsidRDefault="00411CB4" w:rsidP="00076CF7">
      <w:pPr>
        <w:pStyle w:val="bullet"/>
      </w:pPr>
      <w:r w:rsidRPr="00871D6D">
        <w:t xml:space="preserve">World Health Organization (WHO). (2019). WHO Guideline: Recommendations on Digital Interventions for Health System Strengthening. Geneva: WHO. https://iris.who.int/bitstream/handle/10665/311941/9789241550505-eng.pdf </w:t>
      </w:r>
    </w:p>
    <w:p w14:paraId="6D238E32" w14:textId="77777777" w:rsidR="00411CB4" w:rsidRPr="00871D6D" w:rsidRDefault="00411CB4" w:rsidP="00076CF7">
      <w:pPr>
        <w:pStyle w:val="bullet"/>
      </w:pPr>
      <w:proofErr w:type="spellStart"/>
      <w:r w:rsidRPr="00871D6D">
        <w:t>Eysenbach</w:t>
      </w:r>
      <w:proofErr w:type="spellEnd"/>
      <w:r w:rsidRPr="00871D6D">
        <w:t xml:space="preserve">, G. (2002). </w:t>
      </w:r>
      <w:proofErr w:type="spellStart"/>
      <w:r w:rsidRPr="00871D6D">
        <w:t>Infodemiology</w:t>
      </w:r>
      <w:proofErr w:type="spellEnd"/>
      <w:r w:rsidRPr="00871D6D">
        <w:t xml:space="preserve">: The epidemiology of (mis)information. Am J Med. 2002 Dec 15;113(9):740-5. https://pubmed.ncbi.nlm.nih.gov/12517369/ </w:t>
      </w:r>
    </w:p>
    <w:p w14:paraId="5B83340A" w14:textId="77777777" w:rsidR="00411CB4" w:rsidRPr="00871D6D" w:rsidRDefault="00411CB4" w:rsidP="00076CF7">
      <w:pPr>
        <w:pStyle w:val="bullet"/>
      </w:pPr>
      <w:r w:rsidRPr="00871D6D">
        <w:t xml:space="preserve">WHO (2021). Infodemic Management: An Overview of Methodologies and Tools. https://www.who.int/health-topics/infodemic#tab=tab_1 </w:t>
      </w:r>
    </w:p>
    <w:p w14:paraId="163AA261" w14:textId="77777777" w:rsidR="00411CB4" w:rsidRPr="00871D6D" w:rsidRDefault="00411CB4" w:rsidP="00076CF7">
      <w:pPr>
        <w:pStyle w:val="bullet"/>
      </w:pPr>
      <w:r w:rsidRPr="00871D6D">
        <w:t xml:space="preserve">Ministry of Health of the Republic of Armenia. Digital Health Strategy of Armenia, 2020–2025 (in Armenian). Yerevan: MoH RA; 2020. https://moh.am </w:t>
      </w:r>
    </w:p>
    <w:p w14:paraId="1BA39021" w14:textId="77777777" w:rsidR="00411CB4" w:rsidRPr="00871D6D" w:rsidRDefault="00411CB4" w:rsidP="00076CF7">
      <w:pPr>
        <w:pStyle w:val="bullet"/>
      </w:pPr>
      <w:r w:rsidRPr="00871D6D">
        <w:t xml:space="preserve">Petrosyan V, </w:t>
      </w:r>
      <w:proofErr w:type="spellStart"/>
      <w:r w:rsidRPr="00871D6D">
        <w:t>Melkomian</w:t>
      </w:r>
      <w:proofErr w:type="spellEnd"/>
      <w:r w:rsidRPr="00871D6D">
        <w:t xml:space="preserve"> D. COVID-19 and Digital Surveillance: Lessons from Armenia’s Response (in Armenian). Caucasus Health Policy Review. 2022;3(1):25–33.</w:t>
      </w:r>
    </w:p>
    <w:p w14:paraId="73BEC807" w14:textId="77777777" w:rsidR="00411CB4" w:rsidRPr="00871D6D" w:rsidRDefault="00411CB4" w:rsidP="00076CF7">
      <w:pPr>
        <w:pStyle w:val="bullet"/>
      </w:pPr>
      <w:r w:rsidRPr="00871D6D">
        <w:t xml:space="preserve">Ministry of Health of Armenia. (2023). Digital Health Literacy Guidelines. (in Armenian) https://moh.am </w:t>
      </w:r>
    </w:p>
    <w:p w14:paraId="0ADBC4E8" w14:textId="77777777" w:rsidR="00871D6D" w:rsidRDefault="00871D6D" w:rsidP="00871D6D">
      <w:pPr>
        <w:spacing w:after="0"/>
        <w:jc w:val="both"/>
        <w:rPr>
          <w:rFonts w:ascii="Sylfaen" w:eastAsia="Calibri" w:hAnsi="Sylfaen" w:cs="Times New Roman"/>
          <w:b/>
          <w:bCs/>
          <w:i/>
          <w:iCs/>
          <w:kern w:val="2"/>
          <w:lang w:val="en-US" w:eastAsia="en-US"/>
        </w:rPr>
      </w:pPr>
    </w:p>
    <w:p w14:paraId="6627BC96" w14:textId="2C1DBEF1" w:rsidR="00871D6D" w:rsidRPr="00871D6D" w:rsidRDefault="00871D6D" w:rsidP="00871D6D">
      <w:pPr>
        <w:spacing w:after="0"/>
        <w:jc w:val="both"/>
        <w:rPr>
          <w:rFonts w:ascii="Sylfaen" w:eastAsia="Calibri" w:hAnsi="Sylfaen" w:cs="Times New Roman"/>
          <w:kern w:val="2"/>
          <w:lang w:val="en-US" w:eastAsia="en-US"/>
        </w:rPr>
      </w:pPr>
      <w:r w:rsidRPr="00871D6D">
        <w:rPr>
          <w:rFonts w:ascii="Sylfaen" w:eastAsia="Calibri" w:hAnsi="Sylfaen" w:cs="Times New Roman"/>
          <w:b/>
          <w:bCs/>
          <w:i/>
          <w:iCs/>
          <w:kern w:val="2"/>
          <w:lang w:val="en-US" w:eastAsia="en-US"/>
        </w:rPr>
        <w:t>Assessments used</w:t>
      </w:r>
    </w:p>
    <w:p w14:paraId="1D7AC439" w14:textId="77777777" w:rsidR="00871D6D" w:rsidRPr="00871D6D" w:rsidRDefault="00871D6D" w:rsidP="00871D6D">
      <w:pPr>
        <w:spacing w:after="0"/>
        <w:jc w:val="both"/>
        <w:rPr>
          <w:rFonts w:ascii="Sylfaen" w:eastAsia="Calibri" w:hAnsi="Sylfaen" w:cs="Times New Roman"/>
          <w:kern w:val="2"/>
          <w:lang w:val="en-US" w:eastAsia="en-US"/>
        </w:rPr>
      </w:pPr>
      <w:r w:rsidRPr="00871D6D">
        <w:rPr>
          <w:rFonts w:ascii="Sylfaen" w:eastAsia="Calibri" w:hAnsi="Sylfaen" w:cs="Times New Roman"/>
          <w:kern w:val="2"/>
          <w:lang w:val="en-US" w:eastAsia="en-US"/>
        </w:rPr>
        <w:t xml:space="preserve">The summative assessment for this module consists of an individual oral presentation lasting 10–15 minutes, supported by slides. Each student is required to evaluate a real or hypothetical digital health system, platform, or tool relevant to Armenia or comparable settings. The presentation must address the system’s core functionality, potential </w:t>
      </w:r>
      <w:proofErr w:type="spellStart"/>
      <w:r w:rsidRPr="00871D6D">
        <w:rPr>
          <w:rFonts w:ascii="Sylfaen" w:eastAsia="Calibri" w:hAnsi="Sylfaen" w:cs="Times New Roman"/>
          <w:kern w:val="2"/>
          <w:lang w:val="en-US" w:eastAsia="en-US"/>
        </w:rPr>
        <w:t>infodemiological</w:t>
      </w:r>
      <w:proofErr w:type="spellEnd"/>
      <w:r w:rsidRPr="00871D6D">
        <w:rPr>
          <w:rFonts w:ascii="Sylfaen" w:eastAsia="Calibri" w:hAnsi="Sylfaen" w:cs="Times New Roman"/>
          <w:kern w:val="2"/>
          <w:lang w:val="en-US" w:eastAsia="en-US"/>
        </w:rPr>
        <w:t xml:space="preserve"> risks (such as misinformation or data distortion), digital equity concerns (e.g., access, literacy, inclusion), and an evaluation plan based on implementation science principles.</w:t>
      </w:r>
    </w:p>
    <w:p w14:paraId="09C6909B" w14:textId="77777777" w:rsidR="00871D6D" w:rsidRPr="00871D6D" w:rsidRDefault="00871D6D" w:rsidP="00871D6D">
      <w:pPr>
        <w:spacing w:after="0"/>
        <w:jc w:val="both"/>
        <w:rPr>
          <w:rFonts w:ascii="Sylfaen" w:eastAsia="Calibri" w:hAnsi="Sylfaen" w:cs="Times New Roman"/>
          <w:kern w:val="2"/>
          <w:lang w:val="en-US" w:eastAsia="en-US"/>
        </w:rPr>
      </w:pPr>
      <w:r w:rsidRPr="00871D6D">
        <w:rPr>
          <w:rFonts w:ascii="Sylfaen" w:eastAsia="Calibri" w:hAnsi="Sylfaen" w:cs="Times New Roman"/>
          <w:kern w:val="2"/>
          <w:lang w:val="en-US" w:eastAsia="en-US"/>
        </w:rPr>
        <w:t>Assessment will evaluate the following:</w:t>
      </w:r>
    </w:p>
    <w:p w14:paraId="21A6523E" w14:textId="66B9EB20" w:rsidR="00871D6D" w:rsidRPr="00076CF7" w:rsidRDefault="00871D6D" w:rsidP="00076CF7">
      <w:pPr>
        <w:pStyle w:val="bullet"/>
      </w:pPr>
      <w:r w:rsidRPr="00076CF7">
        <w:t>Synthesis of technical, social, and ethical dimensions of digital health systems;</w:t>
      </w:r>
    </w:p>
    <w:p w14:paraId="04ADD664" w14:textId="646C6D4E" w:rsidR="00871D6D" w:rsidRPr="00076CF7" w:rsidRDefault="00871D6D" w:rsidP="00076CF7">
      <w:pPr>
        <w:pStyle w:val="bullet"/>
      </w:pPr>
      <w:r w:rsidRPr="00076CF7">
        <w:t>Application of relevant theoretical and evaluation frameworks, including implementation science approaches;</w:t>
      </w:r>
    </w:p>
    <w:p w14:paraId="1C0660D8" w14:textId="3B2D6307" w:rsidR="00871D6D" w:rsidRPr="00076CF7" w:rsidRDefault="00871D6D" w:rsidP="00076CF7">
      <w:pPr>
        <w:pStyle w:val="bullet"/>
      </w:pPr>
      <w:r w:rsidRPr="00076CF7">
        <w:t xml:space="preserve">Identification and analysis of </w:t>
      </w:r>
      <w:proofErr w:type="spellStart"/>
      <w:r w:rsidRPr="00076CF7">
        <w:t>infodemiological</w:t>
      </w:r>
      <w:proofErr w:type="spellEnd"/>
      <w:r w:rsidRPr="00076CF7">
        <w:t xml:space="preserve"> risks and strategies to mitigate them;</w:t>
      </w:r>
    </w:p>
    <w:p w14:paraId="3BBDFFE2" w14:textId="6B2FBD59" w:rsidR="00871D6D" w:rsidRPr="00076CF7" w:rsidRDefault="00871D6D" w:rsidP="00076CF7">
      <w:pPr>
        <w:pStyle w:val="bullet"/>
      </w:pPr>
      <w:r w:rsidRPr="00076CF7">
        <w:t>Recognition of digital health equity issues, especially in resource-constrained or rural settings;</w:t>
      </w:r>
    </w:p>
    <w:p w14:paraId="030E4A89" w14:textId="534F81FF" w:rsidR="00871D6D" w:rsidRPr="00076CF7" w:rsidRDefault="00871D6D" w:rsidP="00076CF7">
      <w:pPr>
        <w:pStyle w:val="bullet"/>
      </w:pPr>
      <w:r w:rsidRPr="00076CF7">
        <w:t>Clarity, structure, and professionalism of the presentation, including the ability to communicate complex issues effectively and engage with audience questions.</w:t>
      </w:r>
    </w:p>
    <w:p w14:paraId="4E6C9848" w14:textId="564E1D8B" w:rsidR="00411CB4" w:rsidRDefault="00871D6D" w:rsidP="00871D6D">
      <w:pPr>
        <w:spacing w:after="0"/>
        <w:jc w:val="both"/>
        <w:rPr>
          <w:rFonts w:ascii="Sylfaen" w:eastAsia="Calibri" w:hAnsi="Sylfaen" w:cs="Times New Roman"/>
          <w:kern w:val="2"/>
          <w:lang w:val="en-US" w:eastAsia="en-US"/>
        </w:rPr>
      </w:pPr>
      <w:r w:rsidRPr="00871D6D">
        <w:rPr>
          <w:rFonts w:ascii="Sylfaen" w:eastAsia="Calibri" w:hAnsi="Sylfaen" w:cs="Times New Roman"/>
          <w:kern w:val="2"/>
          <w:lang w:val="en-US" w:eastAsia="en-US"/>
        </w:rPr>
        <w:t xml:space="preserve">Formative assessment includes small-group discussions, guided evaluation exercises, and peer-supported critiques of digital interventions. Students will explore topics such as misinformation management, digital surveillance, platform usability, and ethical considerations in both Armenian and global digital health </w:t>
      </w:r>
      <w:r w:rsidRPr="00871D6D">
        <w:rPr>
          <w:rFonts w:ascii="Sylfaen" w:eastAsia="Calibri" w:hAnsi="Sylfaen" w:cs="Times New Roman"/>
          <w:kern w:val="2"/>
          <w:lang w:val="en-US" w:eastAsia="en-US"/>
        </w:rPr>
        <w:lastRenderedPageBreak/>
        <w:t>contexts. These activities are designed to deepen students’ understanding, refine their analytical approach, and build confidence in presenting complex information clearly.</w:t>
      </w:r>
    </w:p>
    <w:p w14:paraId="7B3AB913" w14:textId="77777777" w:rsidR="00FD0455" w:rsidRDefault="00FD0455" w:rsidP="001C1482">
      <w:pPr>
        <w:spacing w:after="0"/>
        <w:rPr>
          <w:rFonts w:ascii="Sylfaen" w:eastAsia="Calibri" w:hAnsi="Sylfaen" w:cs="Times New Roman"/>
          <w:kern w:val="2"/>
          <w:lang w:val="en-US" w:eastAsia="en-US"/>
        </w:rPr>
      </w:pPr>
    </w:p>
    <w:p w14:paraId="448A41BE" w14:textId="0B504D39" w:rsidR="002133F8" w:rsidRPr="0037066C" w:rsidRDefault="002133F8" w:rsidP="002133F8">
      <w:pPr>
        <w:spacing w:after="0"/>
        <w:rPr>
          <w:rFonts w:ascii="Sylfaen" w:eastAsia="Calibri" w:hAnsi="Sylfaen" w:cs="Times New Roman"/>
          <w:b/>
          <w:bCs/>
          <w:i/>
          <w:iCs/>
          <w:color w:val="4F81BD" w:themeColor="accent1"/>
          <w:kern w:val="2"/>
          <w:u w:val="single"/>
          <w:lang w:val="en-US" w:eastAsia="en-US"/>
        </w:rPr>
      </w:pPr>
      <w:r w:rsidRPr="0037066C">
        <w:rPr>
          <w:rFonts w:ascii="Sylfaen" w:eastAsia="Calibri" w:hAnsi="Sylfaen" w:cs="Times New Roman"/>
          <w:b/>
          <w:bCs/>
          <w:i/>
          <w:iCs/>
          <w:color w:val="4F81BD" w:themeColor="accent1"/>
          <w:kern w:val="2"/>
          <w:u w:val="single"/>
          <w:lang w:val="en-US" w:eastAsia="en-US"/>
        </w:rPr>
        <w:t>Research Seminar and Thesis Preparation</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2D34255E" w14:textId="0708F184" w:rsidR="002133F8" w:rsidRDefault="002133F8" w:rsidP="002133F8">
      <w:pPr>
        <w:spacing w:after="0"/>
        <w:jc w:val="both"/>
        <w:rPr>
          <w:rFonts w:ascii="Sylfaen" w:eastAsia="Calibri" w:hAnsi="Sylfaen" w:cs="Times New Roman"/>
          <w:kern w:val="2"/>
          <w:lang w:val="en-US" w:eastAsia="en-US"/>
        </w:rPr>
      </w:pPr>
      <w:r w:rsidRPr="0037066C">
        <w:rPr>
          <w:rFonts w:ascii="Sylfaen" w:eastAsia="Calibri" w:hAnsi="Sylfaen" w:cs="Times New Roman"/>
          <w:kern w:val="2"/>
          <w:lang w:val="en-US" w:eastAsia="en-US"/>
        </w:rPr>
        <w:t>This module guides students through the structured preparation and development of their Master’s thesis in public health. It focuses on synthesizing core public health knowledge, research evidence, and methodological principles to produce a coherent, ethically conducted, and academically rigorous thesis. Students will apply biostatistical and epidemiological techniques to analyze data, draw evidence-based conclusions, and relate findings to public health policy or practice. The module emphasizes scientific communication, proper academic formatting, referencing, and adherence to institutional and international research ethics. Students will develop a Pre-Submission Progress Report that consolidates completed work, identifies pending sections, and provides a clear timeline for full thesis submission, incorporating supervisory feedback to refine content, structure, and analytical reasoning.</w:t>
      </w:r>
    </w:p>
    <w:p w14:paraId="7CB913EE" w14:textId="567D7EAB" w:rsidR="002B11C4" w:rsidRP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b/>
          <w:bCs/>
          <w:i/>
          <w:iCs/>
          <w:kern w:val="2"/>
          <w:lang w:val="en-US" w:eastAsia="en-US"/>
        </w:rPr>
        <w:t>Learning competences / objectives</w:t>
      </w:r>
      <w:r w:rsidRPr="002B11C4">
        <w:rPr>
          <w:rFonts w:ascii="Sylfaen" w:eastAsia="Calibri" w:hAnsi="Sylfaen" w:cs="Times New Roman"/>
          <w:kern w:val="2"/>
          <w:lang w:val="en-US" w:eastAsia="en-US"/>
        </w:rPr>
        <w:t xml:space="preserve"> </w:t>
      </w:r>
    </w:p>
    <w:p w14:paraId="633E9E2D" w14:textId="1DA90B28" w:rsidR="002B11C4" w:rsidRPr="00076CF7" w:rsidRDefault="002B11C4" w:rsidP="00076CF7">
      <w:pPr>
        <w:pStyle w:val="bullet"/>
      </w:pPr>
      <w:r w:rsidRPr="00076CF7">
        <w:t>Demonstrate the ability to synthesize core public health knowledge, research findings, and methodological principles in preparation for completing the Master’s thesis.</w:t>
      </w:r>
    </w:p>
    <w:p w14:paraId="744702FB" w14:textId="3F21CC83" w:rsidR="002B11C4" w:rsidRPr="00076CF7" w:rsidRDefault="002B11C4" w:rsidP="00076CF7">
      <w:pPr>
        <w:pStyle w:val="bullet"/>
      </w:pPr>
      <w:r w:rsidRPr="00076CF7">
        <w:t>Apply appropriate biostatistical and epidemiological techniques to interpret research data and develop evidence-based conclusions relevant to public health policy or practice.</w:t>
      </w:r>
    </w:p>
    <w:p w14:paraId="634A40D5" w14:textId="78BCC34E" w:rsidR="002B11C4" w:rsidRPr="00076CF7" w:rsidRDefault="002B11C4" w:rsidP="00076CF7">
      <w:pPr>
        <w:pStyle w:val="bullet"/>
      </w:pPr>
      <w:r w:rsidRPr="00076CF7">
        <w:t>Organize thesis chapters logically and coherently using academically appropriate language, referencing, and formatting in line with institutional guidelines.</w:t>
      </w:r>
    </w:p>
    <w:p w14:paraId="32A609B7" w14:textId="739C0F84" w:rsidR="002B11C4" w:rsidRPr="00076CF7" w:rsidRDefault="002B11C4" w:rsidP="00076CF7">
      <w:pPr>
        <w:pStyle w:val="bullet"/>
      </w:pPr>
      <w:r w:rsidRPr="00076CF7">
        <w:t>Incorporate structured academic and supervisory feedback to refine the content, structure, and analytical reasoning within the thesis.</w:t>
      </w:r>
    </w:p>
    <w:p w14:paraId="26CF7F42" w14:textId="0F236D6F" w:rsidR="002B11C4" w:rsidRPr="00076CF7" w:rsidRDefault="002B11C4" w:rsidP="00076CF7">
      <w:pPr>
        <w:pStyle w:val="bullet"/>
      </w:pPr>
      <w:r w:rsidRPr="00076CF7">
        <w:t>Demonstrate ethical academic conduct through adherence to YSMU and international standards for academic integrity, proper citation, and research ethics.</w:t>
      </w:r>
    </w:p>
    <w:p w14:paraId="0151CF49" w14:textId="6E414F63" w:rsidR="002B11C4" w:rsidRPr="00076CF7" w:rsidRDefault="002B11C4" w:rsidP="00076CF7">
      <w:pPr>
        <w:pStyle w:val="bullet"/>
      </w:pPr>
      <w:r w:rsidRPr="00076CF7">
        <w:t>Submit a Pre-Submission Progress Report that integrates prior work, outlines completed components, identifies pending sections, and provides a structured timeline for full thesis submission.</w:t>
      </w:r>
    </w:p>
    <w:p w14:paraId="3A89E1DC" w14:textId="77777777" w:rsidR="002B11C4" w:rsidRPr="002B11C4" w:rsidRDefault="002B11C4" w:rsidP="002B11C4">
      <w:pPr>
        <w:spacing w:after="0"/>
        <w:jc w:val="both"/>
        <w:rPr>
          <w:rFonts w:ascii="Sylfaen" w:eastAsia="Calibri" w:hAnsi="Sylfaen" w:cs="Times New Roman"/>
          <w:kern w:val="2"/>
          <w:lang w:val="en-US" w:eastAsia="en-US"/>
        </w:rPr>
      </w:pPr>
    </w:p>
    <w:p w14:paraId="56AA938E" w14:textId="0BDD8A90" w:rsidR="002B11C4" w:rsidRP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b/>
          <w:bCs/>
          <w:i/>
          <w:iCs/>
          <w:kern w:val="2"/>
          <w:lang w:val="en-US" w:eastAsia="en-US"/>
        </w:rPr>
        <w:t>Syllabus content</w:t>
      </w:r>
    </w:p>
    <w:p w14:paraId="68EBA3B2" w14:textId="0339EB60" w:rsidR="002B11C4" w:rsidRPr="00076CF7" w:rsidRDefault="002B11C4" w:rsidP="00076CF7">
      <w:pPr>
        <w:pStyle w:val="bullet"/>
      </w:pPr>
      <w:r w:rsidRPr="00076CF7">
        <w:t>Thesis writing and scientific communication: structure and composition of core thesis chapters; academic language, coherence, and scientific reasoning.</w:t>
      </w:r>
    </w:p>
    <w:p w14:paraId="32F3E032" w14:textId="4A6A87AF" w:rsidR="002B11C4" w:rsidRPr="00076CF7" w:rsidRDefault="002B11C4" w:rsidP="00076CF7">
      <w:pPr>
        <w:pStyle w:val="bullet"/>
      </w:pPr>
      <w:r w:rsidRPr="00076CF7">
        <w:t>Data presentation and interpretation: appropriate use of graphs, tables, and statistical summaries; interpretation of data within public health frameworks.</w:t>
      </w:r>
    </w:p>
    <w:p w14:paraId="50ECB3A8" w14:textId="65C7C7B3" w:rsidR="002B11C4" w:rsidRPr="00076CF7" w:rsidRDefault="002B11C4" w:rsidP="00076CF7">
      <w:pPr>
        <w:pStyle w:val="bullet"/>
      </w:pPr>
      <w:r w:rsidRPr="00076CF7">
        <w:t>Drawing conclusions and public health implications: formulating conclusions from data; linking evidence to public health interventions, systems, or policy implications.</w:t>
      </w:r>
    </w:p>
    <w:p w14:paraId="23B5178A" w14:textId="37801013" w:rsidR="002B11C4" w:rsidRPr="00076CF7" w:rsidRDefault="002B11C4" w:rsidP="00076CF7">
      <w:pPr>
        <w:pStyle w:val="bullet"/>
      </w:pPr>
      <w:r w:rsidRPr="00076CF7">
        <w:t>Academic integrity and referencing: institutional policies on plagiarism; referencing styles (e.g., APA, Vancouver) and citation management tools.</w:t>
      </w:r>
    </w:p>
    <w:p w14:paraId="7554C4FF" w14:textId="331AB57B" w:rsidR="002B11C4" w:rsidRPr="00076CF7" w:rsidRDefault="002B11C4" w:rsidP="00076CF7">
      <w:pPr>
        <w:pStyle w:val="bullet"/>
      </w:pPr>
      <w:r w:rsidRPr="00076CF7">
        <w:t>YSMU formatting and submission protocols: thesis formatting rules, ethical compliance, administrative procedures, and submission standards.</w:t>
      </w:r>
    </w:p>
    <w:p w14:paraId="50166FDC" w14:textId="7AC1F7AF" w:rsidR="002B11C4" w:rsidRPr="00076CF7" w:rsidRDefault="002B11C4" w:rsidP="00076CF7">
      <w:pPr>
        <w:pStyle w:val="bullet"/>
      </w:pPr>
      <w:r w:rsidRPr="00076CF7">
        <w:t>Pre-Submission Progress Report development: synthesis of thesis progress, chapter outline, methodological status, and planning for completion.</w:t>
      </w:r>
    </w:p>
    <w:p w14:paraId="07CE2344" w14:textId="6DFC67F0" w:rsidR="002B11C4" w:rsidRPr="00076CF7" w:rsidRDefault="002B11C4" w:rsidP="00076CF7">
      <w:pPr>
        <w:pStyle w:val="bullet"/>
      </w:pPr>
      <w:r w:rsidRPr="00076CF7">
        <w:t>Oral defense orientation: introduction to oral defines structure, presentation expectations, and common examiner questions.</w:t>
      </w:r>
    </w:p>
    <w:p w14:paraId="0A2BA11A" w14:textId="77777777" w:rsidR="002B11C4" w:rsidRPr="002B11C4" w:rsidRDefault="002B11C4" w:rsidP="002B11C4">
      <w:pPr>
        <w:spacing w:after="0"/>
        <w:jc w:val="both"/>
        <w:rPr>
          <w:rFonts w:ascii="Sylfaen" w:eastAsia="Calibri" w:hAnsi="Sylfaen" w:cs="Times New Roman"/>
          <w:kern w:val="2"/>
          <w:lang w:val="en-US" w:eastAsia="en-US"/>
        </w:rPr>
      </w:pPr>
    </w:p>
    <w:p w14:paraId="21FD99CD" w14:textId="77777777" w:rsidR="00076CF7" w:rsidRDefault="00076CF7" w:rsidP="002B11C4">
      <w:pPr>
        <w:spacing w:after="0"/>
        <w:jc w:val="both"/>
        <w:rPr>
          <w:rFonts w:ascii="Sylfaen" w:eastAsia="Calibri" w:hAnsi="Sylfaen" w:cs="Times New Roman"/>
          <w:b/>
          <w:bCs/>
          <w:i/>
          <w:iCs/>
          <w:kern w:val="2"/>
          <w:lang w:val="en-US" w:eastAsia="en-US"/>
        </w:rPr>
      </w:pPr>
    </w:p>
    <w:p w14:paraId="7E442C6D" w14:textId="77777777" w:rsidR="00076CF7" w:rsidRDefault="00076CF7" w:rsidP="002B11C4">
      <w:pPr>
        <w:spacing w:after="0"/>
        <w:jc w:val="both"/>
        <w:rPr>
          <w:rFonts w:ascii="Sylfaen" w:eastAsia="Calibri" w:hAnsi="Sylfaen" w:cs="Times New Roman"/>
          <w:b/>
          <w:bCs/>
          <w:i/>
          <w:iCs/>
          <w:kern w:val="2"/>
          <w:lang w:val="en-US" w:eastAsia="en-US"/>
        </w:rPr>
      </w:pPr>
    </w:p>
    <w:p w14:paraId="46D01B2A" w14:textId="190209F1" w:rsidR="002B11C4" w:rsidRP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b/>
          <w:bCs/>
          <w:i/>
          <w:iCs/>
          <w:kern w:val="2"/>
          <w:lang w:val="en-US" w:eastAsia="en-US"/>
        </w:rPr>
        <w:t>Reading materials associated with the module.</w:t>
      </w:r>
      <w:r w:rsidRPr="002B11C4">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2DB9F385" w14:textId="77777777" w:rsidR="002B11C4" w:rsidRPr="002B11C4" w:rsidRDefault="002B11C4" w:rsidP="00076CF7">
      <w:pPr>
        <w:pStyle w:val="bullet"/>
      </w:pPr>
      <w:r w:rsidRPr="002B11C4">
        <w:t>YSMU Master Thesis Guideline. (in Armenian) https://ysmu.am/</w:t>
      </w:r>
    </w:p>
    <w:p w14:paraId="4C830C33" w14:textId="77777777" w:rsidR="002B11C4" w:rsidRPr="002B11C4" w:rsidRDefault="002B11C4" w:rsidP="00076CF7">
      <w:pPr>
        <w:pStyle w:val="bullet"/>
      </w:pPr>
      <w:r w:rsidRPr="002B11C4">
        <w:t xml:space="preserve">Wallace, M. &amp; Wray, A. 2021, Critical Reading and Writing for Postgraduates, 4th </w:t>
      </w:r>
      <w:proofErr w:type="spellStart"/>
      <w:r w:rsidRPr="002B11C4">
        <w:t>edn</w:t>
      </w:r>
      <w:proofErr w:type="spellEnd"/>
      <w:r w:rsidRPr="002B11C4">
        <w:t>, SAGE Publications.</w:t>
      </w:r>
    </w:p>
    <w:p w14:paraId="433D771B" w14:textId="77777777" w:rsidR="002B11C4" w:rsidRPr="002B11C4" w:rsidRDefault="002B11C4" w:rsidP="00076CF7">
      <w:pPr>
        <w:pStyle w:val="bullet"/>
      </w:pPr>
      <w:r w:rsidRPr="002B11C4">
        <w:t xml:space="preserve">Hart, C. 2018, Doing a Literature Review: Releasing the Research Imagination, 2nd </w:t>
      </w:r>
      <w:proofErr w:type="spellStart"/>
      <w:r w:rsidRPr="002B11C4">
        <w:t>edn</w:t>
      </w:r>
      <w:proofErr w:type="spellEnd"/>
      <w:r w:rsidRPr="002B11C4">
        <w:t>, SAGE Publications.</w:t>
      </w:r>
    </w:p>
    <w:p w14:paraId="65DA83B1" w14:textId="77777777" w:rsidR="002B11C4" w:rsidRPr="002B11C4" w:rsidRDefault="002B11C4" w:rsidP="00076CF7">
      <w:pPr>
        <w:pStyle w:val="bullet"/>
      </w:pPr>
      <w:r w:rsidRPr="002B11C4">
        <w:t>EQUATOR Network Guidelines https://www.equator-network.org/</w:t>
      </w:r>
    </w:p>
    <w:p w14:paraId="5CF5A310" w14:textId="77777777" w:rsidR="002B11C4" w:rsidRPr="002B11C4" w:rsidRDefault="002B11C4" w:rsidP="00076CF7">
      <w:pPr>
        <w:pStyle w:val="bullet"/>
      </w:pPr>
      <w:r w:rsidRPr="002B11C4">
        <w:t xml:space="preserve">APA (2020). Publication Manual of the American Psychological Association, 7th </w:t>
      </w:r>
      <w:proofErr w:type="spellStart"/>
      <w:r w:rsidRPr="002B11C4">
        <w:t>edn</w:t>
      </w:r>
      <w:proofErr w:type="spellEnd"/>
      <w:r w:rsidRPr="002B11C4">
        <w:t>.</w:t>
      </w:r>
    </w:p>
    <w:p w14:paraId="076088B9" w14:textId="77777777" w:rsidR="002B11C4" w:rsidRDefault="002B11C4" w:rsidP="002B11C4">
      <w:pPr>
        <w:spacing w:after="0"/>
        <w:jc w:val="both"/>
        <w:rPr>
          <w:rFonts w:ascii="Sylfaen" w:eastAsia="Calibri" w:hAnsi="Sylfaen" w:cs="Times New Roman"/>
          <w:kern w:val="2"/>
          <w:lang w:val="en-US" w:eastAsia="en-US"/>
        </w:rPr>
      </w:pPr>
    </w:p>
    <w:p w14:paraId="4377BF32" w14:textId="58386AA8" w:rsidR="002B11C4" w:rsidRPr="00400F7F" w:rsidRDefault="002B11C4" w:rsidP="002B11C4">
      <w:pPr>
        <w:spacing w:after="0"/>
        <w:jc w:val="both"/>
        <w:rPr>
          <w:rFonts w:ascii="Sylfaen" w:eastAsia="Calibri" w:hAnsi="Sylfaen" w:cs="Times New Roman"/>
          <w:b/>
          <w:bCs/>
          <w:i/>
          <w:iCs/>
          <w:kern w:val="2"/>
          <w:lang w:val="en-US" w:eastAsia="en-US"/>
        </w:rPr>
      </w:pPr>
      <w:r w:rsidRPr="00400F7F">
        <w:rPr>
          <w:rFonts w:ascii="Sylfaen" w:eastAsia="Calibri" w:hAnsi="Sylfaen" w:cs="Times New Roman"/>
          <w:b/>
          <w:bCs/>
          <w:i/>
          <w:iCs/>
          <w:kern w:val="2"/>
          <w:lang w:val="en-US" w:eastAsia="en-US"/>
        </w:rPr>
        <w:t>Assessments used</w:t>
      </w:r>
    </w:p>
    <w:p w14:paraId="781EABAE" w14:textId="77777777" w:rsidR="002B11C4" w:rsidRP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kern w:val="2"/>
          <w:lang w:val="en-US" w:eastAsia="en-US"/>
        </w:rPr>
        <w:t>The summative assessment for this module consists of the submission of a 1,500–2,000-word Pre-Submission Progress Report, which demonstrates the student’s preparedness to complete and submit the final Master’s thesis. The report must present a clear formulation of the research question, summarize completed sections such as the literature review and methodology, outline the current status of data collection or analysis, provide a structured plan for the remaining thesis components, and include a realistic timeline for completion. The document must also confirm compliance with YSMU’s academic formatting guidelines and institutional ethical research standards.</w:t>
      </w:r>
    </w:p>
    <w:p w14:paraId="4BAD3BB4" w14:textId="77777777" w:rsidR="002B11C4" w:rsidRP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kern w:val="2"/>
          <w:lang w:val="en-US" w:eastAsia="en-US"/>
        </w:rPr>
        <w:t>The assessment evaluates the student’s ability to articulate a coherent and well-structured research plan, demonstrate substantial progress toward thesis completion, and present a feasible, academically sound roadmap for final submission. It also assesses the student’s understanding and application of research ethics, as well as their ability to meet institutional academic standards. To successfully complete the module, students must show that they are on track for timely and rigorous completion of their thesis and are capable of independently managing the remaining stages of their research project. This assignment contributes to the program’s integrating experience and reflects the synthesis and application of core public health research competencies developed throughout the MPH curriculum.</w:t>
      </w:r>
    </w:p>
    <w:p w14:paraId="323D4C97" w14:textId="4FD84E38" w:rsidR="002B11C4" w:rsidRDefault="002B11C4" w:rsidP="002B11C4">
      <w:pPr>
        <w:spacing w:after="0"/>
        <w:jc w:val="both"/>
        <w:rPr>
          <w:rFonts w:ascii="Sylfaen" w:eastAsia="Calibri" w:hAnsi="Sylfaen" w:cs="Times New Roman"/>
          <w:kern w:val="2"/>
          <w:lang w:val="en-US" w:eastAsia="en-US"/>
        </w:rPr>
      </w:pPr>
      <w:r w:rsidRPr="002B11C4">
        <w:rPr>
          <w:rFonts w:ascii="Sylfaen" w:eastAsia="Calibri" w:hAnsi="Sylfaen" w:cs="Times New Roman"/>
          <w:kern w:val="2"/>
          <w:lang w:val="en-US" w:eastAsia="en-US"/>
        </w:rPr>
        <w:t>Formative assessment includes participation in interactive research seminars, peer review of thesis outlines or draft sections, and ongoing feedback from faculty and supervisors. These activities support students in refining the structure, methodology, and academic writing of their thesis and are designed to ensure timely progress and preparedness for final submission.</w:t>
      </w:r>
    </w:p>
    <w:p w14:paraId="39EA1B66" w14:textId="77777777" w:rsidR="009C2E4A" w:rsidRDefault="009C2E4A" w:rsidP="001C1482">
      <w:pPr>
        <w:spacing w:after="0"/>
        <w:rPr>
          <w:rFonts w:ascii="Sylfaen" w:eastAsia="Calibri" w:hAnsi="Sylfaen" w:cs="Times New Roman"/>
          <w:b/>
          <w:bCs/>
          <w:color w:val="4F81BD" w:themeColor="accent1"/>
          <w:kern w:val="2"/>
          <w:u w:val="single"/>
          <w:lang w:val="en-US" w:eastAsia="en-US"/>
        </w:rPr>
      </w:pPr>
    </w:p>
    <w:p w14:paraId="6C8535E1" w14:textId="22AF487E" w:rsidR="00FD0455" w:rsidRPr="002133F8" w:rsidRDefault="002133F8" w:rsidP="001C1482">
      <w:pPr>
        <w:spacing w:after="0"/>
        <w:rPr>
          <w:rFonts w:ascii="Sylfaen" w:eastAsia="Calibri" w:hAnsi="Sylfaen" w:cs="Times New Roman"/>
          <w:b/>
          <w:bCs/>
          <w:color w:val="4F81BD" w:themeColor="accent1"/>
          <w:kern w:val="2"/>
          <w:u w:val="single"/>
          <w:lang w:val="en-US" w:eastAsia="en-US"/>
        </w:rPr>
      </w:pPr>
      <w:r w:rsidRPr="002133F8">
        <w:rPr>
          <w:rFonts w:ascii="Sylfaen" w:eastAsia="Calibri" w:hAnsi="Sylfaen" w:cs="Times New Roman"/>
          <w:b/>
          <w:bCs/>
          <w:color w:val="4F81BD" w:themeColor="accent1"/>
          <w:kern w:val="2"/>
          <w:u w:val="single"/>
          <w:lang w:val="en-US" w:eastAsia="en-US"/>
        </w:rPr>
        <w:t>ELECTIVE COURSES</w:t>
      </w:r>
      <w:r w:rsidR="00E63A5D">
        <w:rPr>
          <w:rFonts w:ascii="Sylfaen" w:eastAsia="Calibri" w:hAnsi="Sylfaen" w:cs="Times New Roman"/>
          <w:b/>
          <w:bCs/>
          <w:color w:val="4F81BD" w:themeColor="accent1"/>
          <w:kern w:val="2"/>
          <w:u w:val="single"/>
          <w:lang w:val="en-US" w:eastAsia="en-US"/>
        </w:rPr>
        <w:t xml:space="preserve"> </w:t>
      </w:r>
    </w:p>
    <w:p w14:paraId="68D0C63D" w14:textId="401FA7D1" w:rsidR="00FD0455" w:rsidRDefault="00FD0455" w:rsidP="001C1482">
      <w:pPr>
        <w:spacing w:after="0"/>
        <w:rPr>
          <w:rFonts w:ascii="Sylfaen" w:eastAsia="Calibri" w:hAnsi="Sylfaen" w:cs="Times New Roman"/>
          <w:b/>
          <w:bCs/>
          <w:i/>
          <w:iCs/>
          <w:color w:val="4F81BD" w:themeColor="accent1"/>
          <w:kern w:val="2"/>
          <w:u w:val="single"/>
          <w:lang w:val="en-US" w:eastAsia="en-US"/>
        </w:rPr>
      </w:pPr>
      <w:r w:rsidRPr="00FD0455">
        <w:rPr>
          <w:rFonts w:ascii="Sylfaen" w:eastAsia="Calibri" w:hAnsi="Sylfaen" w:cs="Times New Roman"/>
          <w:b/>
          <w:bCs/>
          <w:i/>
          <w:iCs/>
          <w:color w:val="4F81BD" w:themeColor="accent1"/>
          <w:kern w:val="2"/>
          <w:u w:val="single"/>
          <w:lang w:val="en-US" w:eastAsia="en-US"/>
        </w:rPr>
        <w:t xml:space="preserve">Global Health </w:t>
      </w:r>
      <w:r w:rsidR="00E63A5D" w:rsidRPr="00E63A5D">
        <w:rPr>
          <w:rFonts w:ascii="Sylfaen" w:eastAsia="Calibri" w:hAnsi="Sylfaen" w:cs="Times New Roman"/>
          <w:b/>
          <w:bCs/>
          <w:i/>
          <w:iCs/>
          <w:color w:val="4F81BD" w:themeColor="accent1"/>
          <w:kern w:val="2"/>
          <w:u w:val="single"/>
          <w:lang w:val="en-US" w:eastAsia="en-US"/>
        </w:rPr>
        <w:t>(3 credits)</w:t>
      </w:r>
    </w:p>
    <w:p w14:paraId="2F18218A" w14:textId="34A1D8B9" w:rsidR="002133F8" w:rsidRDefault="00FD0455" w:rsidP="002133F8">
      <w:pPr>
        <w:spacing w:after="0"/>
        <w:jc w:val="both"/>
        <w:rPr>
          <w:rFonts w:ascii="Sylfaen" w:eastAsia="Calibri" w:hAnsi="Sylfaen" w:cs="Times New Roman"/>
          <w:kern w:val="2"/>
          <w:lang w:val="en-US" w:eastAsia="en-US"/>
        </w:rPr>
      </w:pPr>
      <w:r w:rsidRPr="00FD0455">
        <w:rPr>
          <w:rFonts w:ascii="Sylfaen" w:eastAsia="Calibri" w:hAnsi="Sylfaen" w:cs="Times New Roman"/>
          <w:kern w:val="2"/>
          <w:lang w:val="en-US" w:eastAsia="en-US"/>
        </w:rPr>
        <w:t xml:space="preserve">This module introduces students to the complex, interconnected determinants of global health and well-being, with emphasis on structural, environmental, political, and economic factors. Students will develop interdisciplinary knowledge by exploring how multiple academic fields contribute to understanding and addressing global public health challenges. The module covers ethical and human rights principles in global health, global governance structures, cross-border health threats such as pandemics, antimicrobial resistance, and climate-related risks, as well as global health financing mechanisms. Through critical analysis of </w:t>
      </w:r>
      <w:r w:rsidRPr="00FD0455">
        <w:rPr>
          <w:rFonts w:ascii="Sylfaen" w:eastAsia="Calibri" w:hAnsi="Sylfaen" w:cs="Times New Roman"/>
          <w:kern w:val="2"/>
          <w:lang w:val="en-US" w:eastAsia="en-US"/>
        </w:rPr>
        <w:lastRenderedPageBreak/>
        <w:t>international case studies and frameworks, students will gain insights into policy, coordination, and equity considerations that shape global public health strategies.</w:t>
      </w:r>
    </w:p>
    <w:p w14:paraId="1C03B0C1" w14:textId="77777777" w:rsidR="00076CF7" w:rsidRDefault="00076CF7" w:rsidP="005221D8">
      <w:pPr>
        <w:spacing w:after="0"/>
        <w:jc w:val="both"/>
        <w:rPr>
          <w:rFonts w:ascii="Sylfaen" w:eastAsia="Calibri" w:hAnsi="Sylfaen" w:cs="Times New Roman"/>
          <w:b/>
          <w:bCs/>
          <w:i/>
          <w:iCs/>
          <w:kern w:val="2"/>
          <w:lang w:val="en-US" w:eastAsia="en-US"/>
        </w:rPr>
      </w:pPr>
    </w:p>
    <w:p w14:paraId="03765DB9" w14:textId="1869558D" w:rsidR="005221D8" w:rsidRP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b/>
          <w:bCs/>
          <w:i/>
          <w:iCs/>
          <w:kern w:val="2"/>
          <w:lang w:val="en-US" w:eastAsia="en-US"/>
        </w:rPr>
        <w:t>Learning competences / objectives</w:t>
      </w:r>
      <w:r w:rsidRPr="005221D8">
        <w:rPr>
          <w:rFonts w:ascii="Sylfaen" w:eastAsia="Calibri" w:hAnsi="Sylfaen" w:cs="Times New Roman"/>
          <w:kern w:val="2"/>
          <w:lang w:val="en-US" w:eastAsia="en-US"/>
        </w:rPr>
        <w:t xml:space="preserve"> </w:t>
      </w:r>
    </w:p>
    <w:p w14:paraId="6EF62738" w14:textId="79650B89" w:rsidR="005221D8" w:rsidRPr="00076CF7" w:rsidRDefault="005221D8" w:rsidP="00076CF7">
      <w:pPr>
        <w:pStyle w:val="bullet"/>
      </w:pPr>
      <w:r w:rsidRPr="00076CF7">
        <w:t>Demonstrate critical understanding of the complex, interconnected factors influencing global health and well-being, including structural, environmental, political, and economic determinants.</w:t>
      </w:r>
    </w:p>
    <w:p w14:paraId="744B8534" w14:textId="1F7A4692" w:rsidR="005221D8" w:rsidRPr="00076CF7" w:rsidRDefault="005221D8" w:rsidP="00076CF7">
      <w:pPr>
        <w:pStyle w:val="bullet"/>
      </w:pPr>
      <w:r w:rsidRPr="00076CF7">
        <w:t>Demonstrate interdisciplinary knowledge and critical insight into how diverse academic disciplines contribute to understanding and addressing global public health issues.</w:t>
      </w:r>
    </w:p>
    <w:p w14:paraId="10421175" w14:textId="3B02957D" w:rsidR="005221D8" w:rsidRPr="00076CF7" w:rsidRDefault="005221D8" w:rsidP="00076CF7">
      <w:pPr>
        <w:pStyle w:val="bullet"/>
      </w:pPr>
      <w:r w:rsidRPr="00076CF7">
        <w:t>Demonstrate critical awareness of ethical and human rights principles in global health, including their relevance to inequality, social injustice, and rights-based approaches to public health.</w:t>
      </w:r>
    </w:p>
    <w:p w14:paraId="51A468D4" w14:textId="79A48FC2" w:rsidR="005221D8" w:rsidRPr="00076CF7" w:rsidRDefault="005221D8" w:rsidP="00076CF7">
      <w:pPr>
        <w:pStyle w:val="bullet"/>
      </w:pPr>
      <w:r w:rsidRPr="00076CF7">
        <w:t>Analyze global health governance structures, including the roles of WHO, World Bank, and other international actors in shaping global health policy, coordination, and funding.</w:t>
      </w:r>
    </w:p>
    <w:p w14:paraId="2B56771E" w14:textId="7933E98F" w:rsidR="005221D8" w:rsidRPr="00076CF7" w:rsidRDefault="005221D8" w:rsidP="00076CF7">
      <w:pPr>
        <w:pStyle w:val="bullet"/>
      </w:pPr>
      <w:r w:rsidRPr="00076CF7">
        <w:t>Critically assess cross-border health threats, including pandemics, antimicrobial resistance (AMR), refugee health, and climate-related risks, and their implications for global public health security.</w:t>
      </w:r>
    </w:p>
    <w:p w14:paraId="2F24752B" w14:textId="14B4A184" w:rsidR="005221D8" w:rsidRPr="00076CF7" w:rsidRDefault="005221D8" w:rsidP="00076CF7">
      <w:pPr>
        <w:pStyle w:val="bullet"/>
      </w:pPr>
      <w:r w:rsidRPr="00076CF7">
        <w:t>Evaluate global health financing mechanisms, including official development assistance (ODA), vertical programs, and donor–recipient dynamics in shaping public health priorities and interventions.</w:t>
      </w:r>
    </w:p>
    <w:p w14:paraId="24AFC019" w14:textId="77777777" w:rsidR="005221D8" w:rsidRPr="005221D8" w:rsidRDefault="005221D8" w:rsidP="005221D8">
      <w:pPr>
        <w:spacing w:after="0"/>
        <w:jc w:val="both"/>
        <w:rPr>
          <w:rFonts w:ascii="Sylfaen" w:eastAsia="Calibri" w:hAnsi="Sylfaen" w:cs="Times New Roman"/>
          <w:kern w:val="2"/>
          <w:lang w:val="en-US" w:eastAsia="en-US"/>
        </w:rPr>
      </w:pPr>
    </w:p>
    <w:p w14:paraId="056951E2" w14:textId="2ED569CA" w:rsidR="005221D8" w:rsidRP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b/>
          <w:bCs/>
          <w:i/>
          <w:iCs/>
          <w:kern w:val="2"/>
          <w:lang w:val="en-US" w:eastAsia="en-US"/>
        </w:rPr>
        <w:t>Syllabus content</w:t>
      </w:r>
    </w:p>
    <w:p w14:paraId="3476F390" w14:textId="6204EF46" w:rsidR="005221D8" w:rsidRPr="00076CF7" w:rsidRDefault="005221D8" w:rsidP="00076CF7">
      <w:pPr>
        <w:pStyle w:val="bullet"/>
      </w:pPr>
      <w:r w:rsidRPr="00076CF7">
        <w:t>Philosophical, conceptual, and theoretical perspectives on global public health, including definitions of health, illness, well-being, and wellness.</w:t>
      </w:r>
    </w:p>
    <w:p w14:paraId="526AB873" w14:textId="3FF1CEDC" w:rsidR="005221D8" w:rsidRPr="00076CF7" w:rsidRDefault="005221D8" w:rsidP="00076CF7">
      <w:pPr>
        <w:pStyle w:val="bullet"/>
      </w:pPr>
      <w:r w:rsidRPr="00076CF7">
        <w:t>Social, political, and ethical values in global public health, including beneficence, equity, social justice, rights, altruism, freedom, risk, and harm minimization.</w:t>
      </w:r>
    </w:p>
    <w:p w14:paraId="6332E526" w14:textId="6ED0FF98" w:rsidR="005221D8" w:rsidRPr="00076CF7" w:rsidRDefault="005221D8" w:rsidP="00076CF7">
      <w:pPr>
        <w:pStyle w:val="bullet"/>
      </w:pPr>
      <w:r w:rsidRPr="00076CF7">
        <w:t>Contributions of diverse academic disciplines to global public health, including sociology, anthropology, geography, psychology, political science, economics, and biomedicine.</w:t>
      </w:r>
    </w:p>
    <w:p w14:paraId="328DC6AF" w14:textId="73E94BAF" w:rsidR="005221D8" w:rsidRPr="00076CF7" w:rsidRDefault="005221D8" w:rsidP="00076CF7">
      <w:pPr>
        <w:pStyle w:val="bullet"/>
      </w:pPr>
      <w:r w:rsidRPr="00076CF7">
        <w:t>Historical and geographic trends in public health development, including the evolution of the field and the impact of major global political and scientific milestones.</w:t>
      </w:r>
    </w:p>
    <w:p w14:paraId="040C064A" w14:textId="7BC9E4C3" w:rsidR="005221D8" w:rsidRPr="00076CF7" w:rsidRDefault="005221D8" w:rsidP="00076CF7">
      <w:pPr>
        <w:pStyle w:val="bullet"/>
      </w:pPr>
      <w:r w:rsidRPr="00076CF7">
        <w:t>Social determinants of health and inequalities in healthcare access, including classification and stratification by occupation, income, ethnicity, religion, generation, gender, and ability.</w:t>
      </w:r>
    </w:p>
    <w:p w14:paraId="5C59E8C6" w14:textId="5FD16060" w:rsidR="005221D8" w:rsidRPr="00076CF7" w:rsidRDefault="005221D8" w:rsidP="00076CF7">
      <w:pPr>
        <w:pStyle w:val="bullet"/>
      </w:pPr>
      <w:r w:rsidRPr="00076CF7">
        <w:t>Global health governance frameworks: roles and responsibilities of WHO, UN agencies, the World Bank, Global Fund, and major global partnerships and treaties.</w:t>
      </w:r>
    </w:p>
    <w:p w14:paraId="0043CDFF" w14:textId="44D76BEC" w:rsidR="005221D8" w:rsidRPr="00076CF7" w:rsidRDefault="005221D8" w:rsidP="00076CF7">
      <w:pPr>
        <w:pStyle w:val="bullet"/>
      </w:pPr>
      <w:r w:rsidRPr="00076CF7">
        <w:t>Cross-border health threats: public health dimensions of pandemics, AMR, climate change, and migration and refugee movements.</w:t>
      </w:r>
    </w:p>
    <w:p w14:paraId="44426FDA" w14:textId="4F733828" w:rsidR="005221D8" w:rsidRPr="00076CF7" w:rsidRDefault="005221D8" w:rsidP="00076CF7">
      <w:pPr>
        <w:pStyle w:val="bullet"/>
      </w:pPr>
      <w:r w:rsidRPr="00076CF7">
        <w:t>Global health financing: official development assistance (ODA), global donor architecture, vertical funding mechanisms (e.g., GAVI, PEPFAR), and equity in donor–recipient relations.</w:t>
      </w:r>
    </w:p>
    <w:p w14:paraId="43C9CB39" w14:textId="56F6345D" w:rsidR="005221D8" w:rsidRPr="00076CF7" w:rsidRDefault="005221D8" w:rsidP="00076CF7">
      <w:pPr>
        <w:pStyle w:val="bullet"/>
      </w:pPr>
      <w:r w:rsidRPr="00076CF7">
        <w:t>Global health in the context of sustainability and development: intersections with climate resilience, food systems, environmental degradation, and health security.</w:t>
      </w:r>
    </w:p>
    <w:p w14:paraId="2F862772" w14:textId="77777777" w:rsidR="005221D8" w:rsidRPr="005221D8" w:rsidRDefault="005221D8" w:rsidP="00076CF7">
      <w:pPr>
        <w:pStyle w:val="bullet"/>
      </w:pPr>
    </w:p>
    <w:p w14:paraId="48A3FCCE" w14:textId="0A09A06B" w:rsidR="005221D8" w:rsidRP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b/>
          <w:bCs/>
          <w:i/>
          <w:iCs/>
          <w:kern w:val="2"/>
          <w:lang w:val="en-US" w:eastAsia="en-US"/>
        </w:rPr>
        <w:t>Reading materials associated with the module.</w:t>
      </w:r>
      <w:r w:rsidRPr="005221D8">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177597E2" w14:textId="77777777" w:rsidR="005221D8" w:rsidRPr="005221D8" w:rsidRDefault="005221D8" w:rsidP="00076CF7">
      <w:pPr>
        <w:pStyle w:val="bullet"/>
      </w:pPr>
      <w:r w:rsidRPr="005221D8">
        <w:t xml:space="preserve">Skolnik, R. (2022). Global Health 101, 4th </w:t>
      </w:r>
      <w:proofErr w:type="spellStart"/>
      <w:r w:rsidRPr="005221D8">
        <w:t>edn</w:t>
      </w:r>
      <w:proofErr w:type="spellEnd"/>
      <w:r w:rsidRPr="005221D8">
        <w:t>, Jones &amp; Bartlett Learning.</w:t>
      </w:r>
    </w:p>
    <w:p w14:paraId="489344C0" w14:textId="77777777" w:rsidR="005221D8" w:rsidRPr="005221D8" w:rsidRDefault="005221D8" w:rsidP="00076CF7">
      <w:pPr>
        <w:pStyle w:val="bullet"/>
      </w:pPr>
      <w:r w:rsidRPr="005221D8">
        <w:t xml:space="preserve">Napier, D., </w:t>
      </w:r>
      <w:proofErr w:type="spellStart"/>
      <w:r w:rsidRPr="005221D8">
        <w:t>Ancarno</w:t>
      </w:r>
      <w:proofErr w:type="spellEnd"/>
      <w:r w:rsidRPr="005221D8">
        <w:t>, C., Butler, B., et al. (2014). Culture and health. The Lancet, 384(9954), 1607–1639. https://doi.org/10.1016/S0140-6736(14)61603-2</w:t>
      </w:r>
    </w:p>
    <w:p w14:paraId="16186BE5" w14:textId="77777777" w:rsidR="005221D8" w:rsidRPr="005221D8" w:rsidRDefault="005221D8" w:rsidP="00076CF7">
      <w:pPr>
        <w:pStyle w:val="bullet"/>
      </w:pPr>
      <w:r w:rsidRPr="005221D8">
        <w:lastRenderedPageBreak/>
        <w:t xml:space="preserve">Beaglehole, R. &amp; Bonita, R. (2009). Global Public Health: A New Era, 2nd </w:t>
      </w:r>
      <w:proofErr w:type="spellStart"/>
      <w:r w:rsidRPr="005221D8">
        <w:t>edn</w:t>
      </w:r>
      <w:proofErr w:type="spellEnd"/>
      <w:r w:rsidRPr="005221D8">
        <w:t>, Oxford University Press.</w:t>
      </w:r>
    </w:p>
    <w:p w14:paraId="2C6258C2" w14:textId="77777777" w:rsidR="005221D8" w:rsidRPr="005221D8" w:rsidRDefault="005221D8" w:rsidP="00076CF7">
      <w:pPr>
        <w:pStyle w:val="bullet"/>
      </w:pPr>
      <w:r w:rsidRPr="005221D8">
        <w:t xml:space="preserve">Holtz, C. (2021). Global Health Care: Issues and Policies, 4th </w:t>
      </w:r>
      <w:proofErr w:type="spellStart"/>
      <w:r w:rsidRPr="005221D8">
        <w:t>edn</w:t>
      </w:r>
      <w:proofErr w:type="spellEnd"/>
      <w:r w:rsidRPr="005221D8">
        <w:t>, Jones &amp; Bartlett Learning.</w:t>
      </w:r>
    </w:p>
    <w:p w14:paraId="4CA21F15" w14:textId="77777777" w:rsidR="005221D8" w:rsidRPr="005221D8" w:rsidRDefault="005221D8" w:rsidP="00076CF7">
      <w:pPr>
        <w:pStyle w:val="bullet"/>
      </w:pPr>
      <w:r w:rsidRPr="005221D8">
        <w:t xml:space="preserve">Birn, A-E., Pillay, Y., &amp; Holtz, T.H. (2017). Textbook of Global Health, 4th </w:t>
      </w:r>
      <w:proofErr w:type="spellStart"/>
      <w:r w:rsidRPr="005221D8">
        <w:t>edn</w:t>
      </w:r>
      <w:proofErr w:type="spellEnd"/>
      <w:r w:rsidRPr="005221D8">
        <w:t>, Oxford University Press.</w:t>
      </w:r>
    </w:p>
    <w:p w14:paraId="2F1F471A" w14:textId="569151FA" w:rsidR="005221D8" w:rsidRPr="005221D8" w:rsidRDefault="005221D8" w:rsidP="00076CF7">
      <w:pPr>
        <w:pStyle w:val="bullet"/>
      </w:pPr>
      <w:r w:rsidRPr="005221D8">
        <w:t>Kickbusch, I., Szabo, M. M. (2014). A new governance space for health. Global Health Action.</w:t>
      </w:r>
      <w:r>
        <w:t xml:space="preserve"> </w:t>
      </w:r>
      <w:r w:rsidRPr="005221D8">
        <w:t>https://pmc.ncbi.nlm.nih.gov/articles/PMC3925805/</w:t>
      </w:r>
    </w:p>
    <w:p w14:paraId="07EF0E8F" w14:textId="65610382" w:rsidR="005221D8" w:rsidRPr="005221D8" w:rsidRDefault="005221D8" w:rsidP="00076CF7">
      <w:pPr>
        <w:pStyle w:val="bullet"/>
      </w:pPr>
      <w:r w:rsidRPr="005221D8">
        <w:t>OECD. Fiscal Sustainability of Health Systems. Paris: OECD, 2024.</w:t>
      </w:r>
      <w:r>
        <w:t xml:space="preserve"> </w:t>
      </w:r>
      <w:r w:rsidRPr="005221D8">
        <w:t>https://www.oecd.org/en/publications/fiscal-sustainability-of-health-systems_880f3195-en.html</w:t>
      </w:r>
    </w:p>
    <w:p w14:paraId="33EF458F" w14:textId="77777777" w:rsidR="005221D8" w:rsidRPr="005221D8" w:rsidRDefault="005221D8" w:rsidP="00076CF7">
      <w:pPr>
        <w:pStyle w:val="bullet"/>
      </w:pPr>
      <w:r w:rsidRPr="005221D8">
        <w:t xml:space="preserve">World Health Organization (WHO). World Health Statistics 2023 https://cdn.who.int/media/docs/default-source/gho-documents/world-health-statistic-reports/2023/world-health-statistics-2023_20230519_.pdf </w:t>
      </w:r>
    </w:p>
    <w:p w14:paraId="75C605BE" w14:textId="77777777" w:rsidR="005221D8" w:rsidRPr="005221D8" w:rsidRDefault="005221D8" w:rsidP="00076CF7">
      <w:pPr>
        <w:pStyle w:val="bullet"/>
      </w:pPr>
      <w:r w:rsidRPr="005221D8">
        <w:t xml:space="preserve">Commission on Social Determinants of Health. (2008). Closing the Gap in a Generation: Health Equity through Action on the Social Determinants of Health. https://iris.who.int/bitstream/handle/10665/43943/9789241563703_eng.pdf </w:t>
      </w:r>
    </w:p>
    <w:p w14:paraId="020315F7" w14:textId="77777777" w:rsidR="005221D8" w:rsidRPr="005221D8" w:rsidRDefault="005221D8" w:rsidP="00076CF7">
      <w:pPr>
        <w:pStyle w:val="bullet"/>
      </w:pPr>
      <w:r w:rsidRPr="005221D8">
        <w:t xml:space="preserve">UNDP Human Development Report (Armenia chapter). https://www.undp.org/sites/g/files/zskgke326/files/migration/am/2018-HDR-Statistical-Update-Armenia.pdf </w:t>
      </w:r>
    </w:p>
    <w:p w14:paraId="115C13B2" w14:textId="77777777" w:rsidR="005221D8" w:rsidRDefault="005221D8" w:rsidP="005221D8">
      <w:pPr>
        <w:spacing w:after="0"/>
        <w:jc w:val="both"/>
        <w:rPr>
          <w:rFonts w:ascii="Sylfaen" w:eastAsia="Calibri" w:hAnsi="Sylfaen" w:cs="Times New Roman"/>
          <w:b/>
          <w:bCs/>
          <w:i/>
          <w:iCs/>
          <w:kern w:val="2"/>
          <w:lang w:val="en-US" w:eastAsia="en-US"/>
        </w:rPr>
      </w:pPr>
    </w:p>
    <w:p w14:paraId="3E4F9545" w14:textId="3E4FAAE6" w:rsidR="005221D8" w:rsidRPr="005221D8" w:rsidRDefault="005221D8" w:rsidP="005221D8">
      <w:pPr>
        <w:spacing w:after="0"/>
        <w:jc w:val="both"/>
        <w:rPr>
          <w:rFonts w:ascii="Sylfaen" w:eastAsia="Calibri" w:hAnsi="Sylfaen" w:cs="Times New Roman"/>
          <w:b/>
          <w:bCs/>
          <w:i/>
          <w:iCs/>
          <w:kern w:val="2"/>
          <w:lang w:val="en-US" w:eastAsia="en-US"/>
        </w:rPr>
      </w:pPr>
      <w:r w:rsidRPr="005221D8">
        <w:rPr>
          <w:rFonts w:ascii="Sylfaen" w:eastAsia="Calibri" w:hAnsi="Sylfaen" w:cs="Times New Roman"/>
          <w:b/>
          <w:bCs/>
          <w:i/>
          <w:iCs/>
          <w:kern w:val="2"/>
          <w:lang w:val="en-US" w:eastAsia="en-US"/>
        </w:rPr>
        <w:t>Assessments used</w:t>
      </w:r>
    </w:p>
    <w:p w14:paraId="42FE0F6F" w14:textId="77777777" w:rsidR="005221D8" w:rsidRP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kern w:val="2"/>
          <w:lang w:val="en-US" w:eastAsia="en-US"/>
        </w:rPr>
        <w:t>The summative assessment for this module consists of an individual oral presentation lasting 10–15 minutes. Each student is required to select a contemporary global health issue and deliver an interdisciplinary, rights-based analysis of its causes, consequences, and implications for health equity and sustainability. Presentations must demonstrate the integration of relevant theories, global health values (such as equity, solidarity, and justice), and insights from multiple disciplines, including public health, policy, economics, and ethics.</w:t>
      </w:r>
    </w:p>
    <w:p w14:paraId="27A2EAF8" w14:textId="77777777" w:rsidR="005221D8" w:rsidRP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kern w:val="2"/>
          <w:lang w:val="en-US" w:eastAsia="en-US"/>
        </w:rPr>
        <w:t>The assessment will evaluate:</w:t>
      </w:r>
    </w:p>
    <w:p w14:paraId="301CF72C" w14:textId="03F69EEA" w:rsidR="005221D8" w:rsidRPr="00076CF7" w:rsidRDefault="005221D8" w:rsidP="00076CF7">
      <w:pPr>
        <w:pStyle w:val="bullet"/>
      </w:pPr>
      <w:r w:rsidRPr="00076CF7">
        <w:t>Critical analysis of global health determinants, including structural, political, environmental, and economic dimensions;</w:t>
      </w:r>
    </w:p>
    <w:p w14:paraId="62432CF9" w14:textId="35256DBA" w:rsidR="005221D8" w:rsidRPr="00076CF7" w:rsidRDefault="005221D8" w:rsidP="00076CF7">
      <w:pPr>
        <w:pStyle w:val="bullet"/>
      </w:pPr>
      <w:r w:rsidRPr="00076CF7">
        <w:t>Integration of interdisciplinary perspectives, demonstrating the student’s ability to link theory with practice;</w:t>
      </w:r>
    </w:p>
    <w:p w14:paraId="46212C11" w14:textId="1949F2C1" w:rsidR="005221D8" w:rsidRPr="00076CF7" w:rsidRDefault="005221D8" w:rsidP="00076CF7">
      <w:pPr>
        <w:pStyle w:val="bullet"/>
      </w:pPr>
      <w:r w:rsidRPr="00076CF7">
        <w:t>Application of rights-based and equity-centered frameworks to assess public health implications;</w:t>
      </w:r>
    </w:p>
    <w:p w14:paraId="01A45954" w14:textId="73D8FDE1" w:rsidR="005221D8" w:rsidRPr="00076CF7" w:rsidRDefault="005221D8" w:rsidP="00076CF7">
      <w:pPr>
        <w:pStyle w:val="bullet"/>
      </w:pPr>
      <w:r w:rsidRPr="00076CF7">
        <w:t>Clarity, organization, and persuasiveness of the presentation, including effective argumentation and professional delivery.</w:t>
      </w:r>
    </w:p>
    <w:p w14:paraId="7317E056" w14:textId="19039421" w:rsidR="005221D8" w:rsidRDefault="005221D8" w:rsidP="005221D8">
      <w:pPr>
        <w:spacing w:after="0"/>
        <w:jc w:val="both"/>
        <w:rPr>
          <w:rFonts w:ascii="Sylfaen" w:eastAsia="Calibri" w:hAnsi="Sylfaen" w:cs="Times New Roman"/>
          <w:kern w:val="2"/>
          <w:lang w:val="en-US" w:eastAsia="en-US"/>
        </w:rPr>
      </w:pPr>
      <w:r w:rsidRPr="005221D8">
        <w:rPr>
          <w:rFonts w:ascii="Sylfaen" w:eastAsia="Calibri" w:hAnsi="Sylfaen" w:cs="Times New Roman"/>
          <w:kern w:val="2"/>
          <w:lang w:val="en-US" w:eastAsia="en-US"/>
        </w:rPr>
        <w:t>Formative assessment includes structured in-class discussions, presentation rehearsals, and peer feedback opportunities designed to deepen students’ conceptual understanding, enhance their ability to construct interdisciplinary arguments, and improve the quality of their presentation delivery.</w:t>
      </w:r>
    </w:p>
    <w:p w14:paraId="65654B7A" w14:textId="77777777" w:rsidR="005221D8" w:rsidRPr="00916805" w:rsidRDefault="005221D8" w:rsidP="002133F8">
      <w:pPr>
        <w:spacing w:after="0"/>
        <w:jc w:val="both"/>
        <w:rPr>
          <w:rFonts w:ascii="Sylfaen" w:eastAsia="Calibri" w:hAnsi="Sylfaen" w:cs="Times New Roman"/>
          <w:kern w:val="2"/>
          <w:lang w:val="en-US" w:eastAsia="en-US"/>
        </w:rPr>
      </w:pPr>
    </w:p>
    <w:p w14:paraId="70E8D164" w14:textId="34B6D775" w:rsidR="00FD0455" w:rsidRDefault="00FD0455" w:rsidP="001C1482">
      <w:pPr>
        <w:spacing w:after="0"/>
        <w:rPr>
          <w:rFonts w:ascii="Sylfaen" w:eastAsia="Calibri" w:hAnsi="Sylfaen" w:cs="Times New Roman"/>
          <w:b/>
          <w:bCs/>
          <w:i/>
          <w:iCs/>
          <w:color w:val="4F81BD" w:themeColor="accent1"/>
          <w:kern w:val="2"/>
          <w:u w:val="single"/>
          <w:lang w:val="en-US" w:eastAsia="en-US"/>
        </w:rPr>
      </w:pPr>
      <w:r w:rsidRPr="00FD0455">
        <w:rPr>
          <w:rFonts w:ascii="Sylfaen" w:eastAsia="Calibri" w:hAnsi="Sylfaen" w:cs="Times New Roman"/>
          <w:b/>
          <w:bCs/>
          <w:i/>
          <w:iCs/>
          <w:color w:val="4F81BD" w:themeColor="accent1"/>
          <w:kern w:val="2"/>
          <w:u w:val="single"/>
          <w:lang w:val="en-US" w:eastAsia="en-US"/>
        </w:rPr>
        <w:t xml:space="preserve">Healthcare in Emergencies </w:t>
      </w:r>
      <w:r w:rsidR="00E63A5D" w:rsidRPr="00E63A5D">
        <w:rPr>
          <w:rFonts w:ascii="Sylfaen" w:eastAsia="Calibri" w:hAnsi="Sylfaen" w:cs="Times New Roman"/>
          <w:b/>
          <w:bCs/>
          <w:i/>
          <w:iCs/>
          <w:color w:val="4F81BD" w:themeColor="accent1"/>
          <w:kern w:val="2"/>
          <w:u w:val="single"/>
          <w:lang w:val="en-US" w:eastAsia="en-US"/>
        </w:rPr>
        <w:t>(3 credits)</w:t>
      </w:r>
    </w:p>
    <w:p w14:paraId="73CAE9F2" w14:textId="2E16F698" w:rsidR="001A3C5B" w:rsidRDefault="00FD0455" w:rsidP="002133F8">
      <w:pPr>
        <w:spacing w:after="0"/>
        <w:jc w:val="both"/>
        <w:rPr>
          <w:rFonts w:ascii="Sylfaen" w:eastAsia="Calibri" w:hAnsi="Sylfaen" w:cs="Times New Roman"/>
          <w:kern w:val="2"/>
          <w:lang w:val="en-US" w:eastAsia="en-US"/>
        </w:rPr>
      </w:pPr>
      <w:r w:rsidRPr="00FD0455">
        <w:rPr>
          <w:rFonts w:ascii="Sylfaen" w:eastAsia="Calibri" w:hAnsi="Sylfaen" w:cs="Times New Roman"/>
          <w:kern w:val="2"/>
          <w:lang w:val="en-US" w:eastAsia="en-US"/>
        </w:rPr>
        <w:t>This module provides students with a comprehensive understanding of the public health dimensions of humanitarian emergencies, including natural disasters, technological crises, and conflict-related events. Students will examine the causes, health consequences, and population vulnerabilities associated with emergencies and complex humanitarian settings. The module emphasizes the application of humanitarian principles, ethical frameworks, and international operational standards (e.g., SPHERE, IASC) in the assessment, planning, and implementation of emergency health interventions. Students will develop competence in conducting health needs assessments, prioritizing interventions, and designing evidence-</w:t>
      </w:r>
      <w:r w:rsidRPr="00FD0455">
        <w:rPr>
          <w:rFonts w:ascii="Sylfaen" w:eastAsia="Calibri" w:hAnsi="Sylfaen" w:cs="Times New Roman"/>
          <w:kern w:val="2"/>
          <w:lang w:val="en-US" w:eastAsia="en-US"/>
        </w:rPr>
        <w:lastRenderedPageBreak/>
        <w:t xml:space="preserve">based response strategies tailored to national and regional contexts, including Armenia. Attention is given to coordination mechanisms and the roles of national and international actors involved in humanitarian health response. </w:t>
      </w:r>
    </w:p>
    <w:p w14:paraId="37BF41BF" w14:textId="3969507F" w:rsidR="00365395" w:rsidRPr="00365395" w:rsidRDefault="00365395" w:rsidP="00365395">
      <w:pPr>
        <w:spacing w:after="0"/>
        <w:jc w:val="both"/>
        <w:rPr>
          <w:rFonts w:ascii="Sylfaen" w:eastAsia="Calibri" w:hAnsi="Sylfaen" w:cs="Times New Roman"/>
          <w:b/>
          <w:bCs/>
          <w:i/>
          <w:iCs/>
          <w:kern w:val="2"/>
          <w:lang w:val="en-US" w:eastAsia="en-US"/>
        </w:rPr>
      </w:pPr>
      <w:r w:rsidRPr="00365395">
        <w:rPr>
          <w:rFonts w:ascii="Sylfaen" w:eastAsia="Calibri" w:hAnsi="Sylfaen" w:cs="Times New Roman"/>
          <w:b/>
          <w:bCs/>
          <w:i/>
          <w:iCs/>
          <w:kern w:val="2"/>
          <w:lang w:val="en-US" w:eastAsia="en-US"/>
        </w:rPr>
        <w:t xml:space="preserve">Learning competences / objectives </w:t>
      </w:r>
    </w:p>
    <w:p w14:paraId="3F4A11A8" w14:textId="724C7AAD" w:rsidR="00365395" w:rsidRPr="00076CF7" w:rsidRDefault="00365395" w:rsidP="00076CF7">
      <w:pPr>
        <w:pStyle w:val="bullet"/>
      </w:pPr>
      <w:r w:rsidRPr="00076CF7">
        <w:t>Demonstrate understanding of the nature, causes, and public health consequences of natural disasters and complex emergencies.</w:t>
      </w:r>
    </w:p>
    <w:p w14:paraId="179428A2" w14:textId="470A57BB" w:rsidR="00365395" w:rsidRPr="00076CF7" w:rsidRDefault="00365395" w:rsidP="00076CF7">
      <w:pPr>
        <w:pStyle w:val="bullet"/>
      </w:pPr>
      <w:r w:rsidRPr="00076CF7">
        <w:t>Apply core humanitarian principles and global operational standards in the assessment and management of public health challenges during emergencies.</w:t>
      </w:r>
    </w:p>
    <w:p w14:paraId="29E79716" w14:textId="7E2FE890" w:rsidR="00365395" w:rsidRPr="00076CF7" w:rsidRDefault="00365395" w:rsidP="00076CF7">
      <w:pPr>
        <w:pStyle w:val="bullet"/>
      </w:pPr>
      <w:r w:rsidRPr="00076CF7">
        <w:t>Critically assess the health needs of crisis-affected populations and develop evidence-based emergency health response strategies.</w:t>
      </w:r>
    </w:p>
    <w:p w14:paraId="349BDE5D" w14:textId="4A591AFC" w:rsidR="00365395" w:rsidRPr="00076CF7" w:rsidRDefault="00365395" w:rsidP="00076CF7">
      <w:pPr>
        <w:pStyle w:val="bullet"/>
      </w:pPr>
      <w:r w:rsidRPr="00076CF7">
        <w:t>Design and propose context-appropriate emergency interventions, incorporating priority health needs, national risk profiles, and disaster preparedness frameworks.</w:t>
      </w:r>
    </w:p>
    <w:p w14:paraId="5AAE788A" w14:textId="57FE14F1" w:rsidR="00365395" w:rsidRPr="00076CF7" w:rsidRDefault="00365395" w:rsidP="00076CF7">
      <w:pPr>
        <w:pStyle w:val="bullet"/>
      </w:pPr>
      <w:r w:rsidRPr="00076CF7">
        <w:t>Demonstrate familiarity with the roles, mandates, and coordination mechanisms of national and international humanitarian actors, including those operating in Armenia.</w:t>
      </w:r>
    </w:p>
    <w:p w14:paraId="72532F68" w14:textId="77777777" w:rsidR="00365395" w:rsidRPr="00365395" w:rsidRDefault="00365395" w:rsidP="00365395">
      <w:pPr>
        <w:spacing w:after="0"/>
        <w:jc w:val="both"/>
        <w:rPr>
          <w:rFonts w:ascii="Sylfaen" w:eastAsia="Calibri" w:hAnsi="Sylfaen" w:cs="Times New Roman"/>
          <w:kern w:val="2"/>
          <w:lang w:val="en-US" w:eastAsia="en-US"/>
        </w:rPr>
      </w:pPr>
    </w:p>
    <w:p w14:paraId="7C4E8A7C" w14:textId="18DCF258" w:rsidR="00365395" w:rsidRPr="00365395" w:rsidRDefault="00365395" w:rsidP="00365395">
      <w:pPr>
        <w:spacing w:after="0"/>
        <w:jc w:val="both"/>
        <w:rPr>
          <w:rFonts w:ascii="Sylfaen" w:eastAsia="Calibri" w:hAnsi="Sylfaen" w:cs="Times New Roman"/>
          <w:b/>
          <w:bCs/>
          <w:i/>
          <w:iCs/>
          <w:kern w:val="2"/>
          <w:lang w:val="en-US" w:eastAsia="en-US"/>
        </w:rPr>
      </w:pPr>
      <w:r w:rsidRPr="00365395">
        <w:rPr>
          <w:rFonts w:ascii="Sylfaen" w:eastAsia="Calibri" w:hAnsi="Sylfaen" w:cs="Times New Roman"/>
          <w:b/>
          <w:bCs/>
          <w:i/>
          <w:iCs/>
          <w:kern w:val="2"/>
          <w:lang w:val="en-US" w:eastAsia="en-US"/>
        </w:rPr>
        <w:t>Syllabus content</w:t>
      </w:r>
    </w:p>
    <w:p w14:paraId="6C23B1DA" w14:textId="71CD066D" w:rsidR="00365395" w:rsidRPr="00076CF7" w:rsidRDefault="00365395" w:rsidP="00076CF7">
      <w:pPr>
        <w:pStyle w:val="bullet"/>
      </w:pPr>
      <w:r w:rsidRPr="00076CF7">
        <w:t>Types and causes of humanitarian emergencies: natural, technological, and conflict-related</w:t>
      </w:r>
    </w:p>
    <w:p w14:paraId="306AED4F" w14:textId="5BDDA4F5" w:rsidR="00365395" w:rsidRPr="00076CF7" w:rsidRDefault="00365395" w:rsidP="00076CF7">
      <w:pPr>
        <w:pStyle w:val="bullet"/>
      </w:pPr>
      <w:r w:rsidRPr="00076CF7">
        <w:t>Public health consequences of disasters and emergencies</w:t>
      </w:r>
    </w:p>
    <w:p w14:paraId="111EC5F2" w14:textId="4EC2BB2F" w:rsidR="00365395" w:rsidRPr="00076CF7" w:rsidRDefault="00365395" w:rsidP="00076CF7">
      <w:pPr>
        <w:pStyle w:val="bullet"/>
      </w:pPr>
      <w:r w:rsidRPr="00076CF7">
        <w:t>Humanitarian principles, ethics, and international standards (e.g., SPHERE, IASC guidelines)</w:t>
      </w:r>
    </w:p>
    <w:p w14:paraId="649C8B03" w14:textId="70ABCAC1" w:rsidR="00365395" w:rsidRPr="00076CF7" w:rsidRDefault="00365395" w:rsidP="00076CF7">
      <w:pPr>
        <w:pStyle w:val="bullet"/>
      </w:pPr>
      <w:r w:rsidRPr="00076CF7">
        <w:t>Emergency health needs assessment and priority setting</w:t>
      </w:r>
    </w:p>
    <w:p w14:paraId="648DD179" w14:textId="638B06EC" w:rsidR="00365395" w:rsidRPr="00076CF7" w:rsidRDefault="00365395" w:rsidP="00076CF7">
      <w:pPr>
        <w:pStyle w:val="bullet"/>
      </w:pPr>
      <w:r w:rsidRPr="00076CF7">
        <w:t>Planning and coordination of emergency health interventions</w:t>
      </w:r>
    </w:p>
    <w:p w14:paraId="2FA9F190" w14:textId="2C4E82CA" w:rsidR="00365395" w:rsidRPr="00076CF7" w:rsidRDefault="00365395" w:rsidP="00076CF7">
      <w:pPr>
        <w:pStyle w:val="bullet"/>
      </w:pPr>
      <w:r w:rsidRPr="00076CF7">
        <w:t>Health system preparedness and surge capacity planning</w:t>
      </w:r>
    </w:p>
    <w:p w14:paraId="25A4FCA7" w14:textId="76FE2F13" w:rsidR="00365395" w:rsidRPr="00076CF7" w:rsidRDefault="00365395" w:rsidP="00076CF7">
      <w:pPr>
        <w:pStyle w:val="bullet"/>
      </w:pPr>
      <w:r w:rsidRPr="00076CF7">
        <w:t>Emergency response operations in Armenia: legal frameworks, MOH policies, and disaster risk profiles</w:t>
      </w:r>
    </w:p>
    <w:p w14:paraId="457D5641" w14:textId="7C8B6863" w:rsidR="00365395" w:rsidRPr="00076CF7" w:rsidRDefault="00365395" w:rsidP="00076CF7">
      <w:pPr>
        <w:pStyle w:val="bullet"/>
      </w:pPr>
      <w:r w:rsidRPr="00076CF7">
        <w:t>Roles of global and national actors in humanitarian response (e.g., WHO, UN OCHA, Armenian Ministry of Emergency Situations)</w:t>
      </w:r>
    </w:p>
    <w:p w14:paraId="7462CF4E" w14:textId="5CB6C201" w:rsidR="00365395" w:rsidRPr="00076CF7" w:rsidRDefault="00365395" w:rsidP="00076CF7">
      <w:pPr>
        <w:pStyle w:val="bullet"/>
      </w:pPr>
      <w:r w:rsidRPr="00076CF7">
        <w:t>Case studies on past emergency responses in Armenia and other low- and middle-income countries</w:t>
      </w:r>
    </w:p>
    <w:p w14:paraId="0DB7DF6C" w14:textId="77777777" w:rsidR="00365395" w:rsidRPr="00365395" w:rsidRDefault="00365395" w:rsidP="00365395">
      <w:pPr>
        <w:spacing w:after="0"/>
        <w:jc w:val="both"/>
        <w:rPr>
          <w:rFonts w:ascii="Sylfaen" w:eastAsia="Calibri" w:hAnsi="Sylfaen" w:cs="Times New Roman"/>
          <w:kern w:val="2"/>
          <w:lang w:val="en-US" w:eastAsia="en-US"/>
        </w:rPr>
      </w:pPr>
    </w:p>
    <w:p w14:paraId="2308563E" w14:textId="11B0480C"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b/>
          <w:bCs/>
          <w:i/>
          <w:iCs/>
          <w:kern w:val="2"/>
          <w:lang w:val="en-US" w:eastAsia="en-US"/>
        </w:rPr>
        <w:t>Reading materials associated with the module.</w:t>
      </w:r>
      <w:r w:rsidRPr="00365395">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09B35312" w14:textId="7A0E4D16" w:rsidR="00365395" w:rsidRPr="00365395" w:rsidRDefault="00365395" w:rsidP="00076CF7">
      <w:pPr>
        <w:pStyle w:val="bullet"/>
      </w:pPr>
      <w:r w:rsidRPr="00365395">
        <w:t>Johns Hopkins Bloomberg School of Public Health &amp; International Federation of Red Cross and Red Crescent Societies. (2008). Public Health Guide for Emergencies (2nd ed.). Baltimore: Johns Hopkins University Press. https://reliefweb.int/report/world/johns-hopkins-and-red-cross-red-crescent-public-health-guide-emergencies-second-edition</w:t>
      </w:r>
    </w:p>
    <w:p w14:paraId="28E5183B" w14:textId="0EA9BBB7" w:rsidR="00365395" w:rsidRPr="00365395" w:rsidRDefault="00365395" w:rsidP="00076CF7">
      <w:pPr>
        <w:pStyle w:val="bullet"/>
      </w:pPr>
      <w:r w:rsidRPr="00365395">
        <w:t xml:space="preserve">World Health Organization. (2019). Health Emergency and Disaster Risk Management Framework. Geneva: WHO. https://www.who.int/publications/i/item/9789241516181 </w:t>
      </w:r>
    </w:p>
    <w:p w14:paraId="4BB1EF55" w14:textId="20252C23" w:rsidR="00365395" w:rsidRPr="00365395" w:rsidRDefault="00365395" w:rsidP="00076CF7">
      <w:pPr>
        <w:pStyle w:val="bullet"/>
      </w:pPr>
      <w:r w:rsidRPr="00365395">
        <w:t>United Nations Office for the Coordination of Humanitarian Affairs. (2025). Humanitarian Programme Cycle (HPC) Collective Learning. OCHA Knowledge Base. https://humanitarian.atlassian.net/wiki/spaces/hpc/overview?homepageId=3971612986</w:t>
      </w:r>
    </w:p>
    <w:p w14:paraId="043770EA" w14:textId="22666378" w:rsidR="00365395" w:rsidRPr="00365395" w:rsidRDefault="00365395" w:rsidP="00076CF7">
      <w:pPr>
        <w:pStyle w:val="bullet"/>
      </w:pPr>
      <w:r w:rsidRPr="00365395">
        <w:t>Inter-Agency Standing Committee Needs Assessment Task Force. (2012). Operational Guidance for Coordinated Assessments in Humanitarian Crises. Geneva: IASC.</w:t>
      </w:r>
    </w:p>
    <w:p w14:paraId="61131BD8" w14:textId="6975EA4A" w:rsidR="00365395" w:rsidRPr="00365395" w:rsidRDefault="00365395" w:rsidP="00076CF7">
      <w:pPr>
        <w:pStyle w:val="bullet"/>
      </w:pPr>
      <w:r w:rsidRPr="00365395">
        <w:t>https://resourcecentre.savethechildren.net/pdf/4315.pdf</w:t>
      </w:r>
    </w:p>
    <w:p w14:paraId="35201FA9" w14:textId="77777777" w:rsidR="00365395" w:rsidRPr="00365395" w:rsidRDefault="00365395" w:rsidP="00076CF7">
      <w:pPr>
        <w:pStyle w:val="bullet"/>
      </w:pPr>
      <w:r w:rsidRPr="00365395">
        <w:lastRenderedPageBreak/>
        <w:t>Mitra, S., &amp; Vivekananda, J. (2015). Compounding Risk: Disasters, Fragility &amp; Conflict [Policy brief]. London: International Alert.</w:t>
      </w:r>
    </w:p>
    <w:p w14:paraId="2FB50B5E" w14:textId="16FFA4D1" w:rsidR="00365395" w:rsidRPr="00365395" w:rsidRDefault="00365395" w:rsidP="00076CF7">
      <w:pPr>
        <w:pStyle w:val="bullet"/>
      </w:pPr>
      <w:r w:rsidRPr="00365395">
        <w:t>https://www.international-alert.org/app/uploads/2021/08/Climate-Change-Disasters-Fragility-Conflict-EN-2015.pdf</w:t>
      </w:r>
    </w:p>
    <w:p w14:paraId="45FC7A1E" w14:textId="7E91FBA3" w:rsidR="00365395" w:rsidRPr="00365395" w:rsidRDefault="00365395" w:rsidP="00076CF7">
      <w:pPr>
        <w:pStyle w:val="bullet"/>
      </w:pPr>
      <w:r w:rsidRPr="00365395">
        <w:t>Geale, S.</w:t>
      </w:r>
      <w:r w:rsidRPr="00365395">
        <w:rPr>
          <w:rFonts w:ascii="Times New Roman" w:hAnsi="Times New Roman"/>
        </w:rPr>
        <w:t> </w:t>
      </w:r>
      <w:r w:rsidRPr="00365395">
        <w:t>K. (2012). The ethics of disaster management. Disaster Prevention and Management, 21(4), 445</w:t>
      </w:r>
      <w:r w:rsidRPr="00365395">
        <w:rPr>
          <w:rFonts w:cs="Sylfaen"/>
        </w:rPr>
        <w:t>–</w:t>
      </w:r>
      <w:r w:rsidRPr="00365395">
        <w:t>462. http://dx.doi.org/10.1108/09653561211256152</w:t>
      </w:r>
    </w:p>
    <w:p w14:paraId="6346E128" w14:textId="585FDC93" w:rsidR="00365395" w:rsidRPr="00365395" w:rsidRDefault="00365395" w:rsidP="00076CF7">
      <w:pPr>
        <w:pStyle w:val="bullet"/>
      </w:pPr>
      <w:r w:rsidRPr="00365395">
        <w:t>Sphere Association. (2018). The Sphere Handbook: Humanitarian Charter and Minimum Standards in Humanitarian Response (4th ed.). Geneva: Sphere Association / Practical Action Publishing. https://spherestandards.org/handbook/editions/</w:t>
      </w:r>
    </w:p>
    <w:p w14:paraId="66C0D867" w14:textId="5BE97E18" w:rsidR="00365395" w:rsidRPr="00365395" w:rsidRDefault="00365395" w:rsidP="00076CF7">
      <w:pPr>
        <w:pStyle w:val="bullet"/>
      </w:pPr>
      <w:r w:rsidRPr="00365395">
        <w:t>Republic of Armenia - Disaster Risk Management (DRM) Strategy 2023-2030 https://www.irtek.am/views/act.aspx?aid=123391</w:t>
      </w:r>
    </w:p>
    <w:p w14:paraId="603F42AB" w14:textId="2E1C18AC" w:rsidR="00365395" w:rsidRPr="00365395" w:rsidRDefault="00365395" w:rsidP="00076CF7">
      <w:pPr>
        <w:pStyle w:val="bullet"/>
      </w:pPr>
      <w:r w:rsidRPr="00365395">
        <w:t>Republic of Armenia - DRM – Methodological Guide for Developing a Hospital Disaster Risk Management Plan (MoH Armenia)</w:t>
      </w:r>
      <w:r>
        <w:t xml:space="preserve"> </w:t>
      </w:r>
      <w:r w:rsidRPr="00365395">
        <w:t>https://www.irtek.am/DOCUMENTS/PDF/144325_havelvac.pdf</w:t>
      </w:r>
    </w:p>
    <w:p w14:paraId="324CCD1E" w14:textId="77777777" w:rsidR="00365395" w:rsidRPr="00365395" w:rsidRDefault="00365395" w:rsidP="00076CF7">
      <w:pPr>
        <w:pStyle w:val="bullet"/>
      </w:pPr>
      <w:r w:rsidRPr="00365395">
        <w:t>International Committee of the Red Cross. (2012). Health Care in Danger: The Responsibilities of Health Care Personnel Working in Armed Conflicts and Other Emergencies. Geneva: ICRC. https://shop.icrc.org/health-care-in-danger-the-responsibilities-of-health-care-personnel-working-in-armed-conflicts-and-other-emergencies-pdf-en.html</w:t>
      </w:r>
    </w:p>
    <w:p w14:paraId="32386AE3" w14:textId="2CD28472" w:rsidR="00365395" w:rsidRPr="00365395" w:rsidRDefault="00365395" w:rsidP="00076CF7">
      <w:pPr>
        <w:pStyle w:val="bullet"/>
      </w:pPr>
      <w:r w:rsidRPr="00365395">
        <w:t>International Federation of Red Cross and Red Crescent Societies, International Committee of the Red Cross, German Red Cross &amp; Red Cross Red Crescent Climate Centre. (2024). Navigating fragility, conflict and violence to strengthen community resilience: A handbook for disaster risk reduction practitioners. Geneva: IFRC.</w:t>
      </w:r>
      <w:r>
        <w:t xml:space="preserve"> </w:t>
      </w:r>
      <w:r w:rsidRPr="00365395">
        <w:t>https://preparecenter.org/wp-content/uploads/2024/10/Full-Handbook_RCCC-Navigating-fragility-conflict-and-violence-to-strengthen-community-resilience.pdf</w:t>
      </w:r>
    </w:p>
    <w:p w14:paraId="6602A60F" w14:textId="77777777" w:rsidR="00365395" w:rsidRDefault="00365395" w:rsidP="00365395">
      <w:pPr>
        <w:spacing w:after="0"/>
        <w:jc w:val="both"/>
        <w:rPr>
          <w:rFonts w:ascii="Sylfaen" w:eastAsia="Calibri" w:hAnsi="Sylfaen" w:cs="Times New Roman"/>
          <w:kern w:val="2"/>
          <w:lang w:val="en-US" w:eastAsia="en-US"/>
        </w:rPr>
      </w:pPr>
    </w:p>
    <w:p w14:paraId="0C10529F" w14:textId="0EA979E0"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b/>
          <w:bCs/>
          <w:i/>
          <w:iCs/>
          <w:kern w:val="2"/>
          <w:lang w:val="en-US" w:eastAsia="en-US"/>
        </w:rPr>
        <w:t>Assessments used</w:t>
      </w:r>
    </w:p>
    <w:p w14:paraId="693E4A31"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The summative assessment for this module consists of two assignments:</w:t>
      </w:r>
    </w:p>
    <w:p w14:paraId="15B12EFE"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Component A: 3000-word written assignment (60% weighting)</w:t>
      </w:r>
    </w:p>
    <w:p w14:paraId="49647D0C"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Component B: Oral presentation (40% weighting)</w:t>
      </w:r>
    </w:p>
    <w:p w14:paraId="2F1E06BC"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Students are required to develop a 3,000-word evidence-based emergency health response plan for a defined humanitarian crisis scenario. The plan must include a situational health needs assessment, prioritization of interventions, integration of core humanitarian standards (e.g., SPHERE, IASC), and application of both international emergency response guidelines and Armenia’s national emergency preparedness frameworks. The written assignment assesses the student’s ability to apply emergency planning tools, analyze contextual challenges, and propose context-appropriate, feasible, and ethically sound interventions.</w:t>
      </w:r>
    </w:p>
    <w:p w14:paraId="2DF517D0"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Students deliver a structured 10-15- minute PowerPoint presentation simulating a coordination briefing. In this presentation, students are expected to communicate key components of their response plan, justify their prioritization choices, and demonstrate understanding of health system readiness and emergency coordination mechanisms at both international and national (Armenian) levels. The oral component assesses the clarity and professionalism of communication, the student’s ability to respond to dynamic coordination needs, and the integration of systems-level thinking into their presentation.</w:t>
      </w:r>
    </w:p>
    <w:p w14:paraId="2E9F6546" w14:textId="77777777" w:rsidR="00365395" w:rsidRP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Assessment will evaluate students’ ability to:</w:t>
      </w:r>
    </w:p>
    <w:p w14:paraId="33FCF8AF" w14:textId="5C45E8D3" w:rsidR="00365395" w:rsidRPr="00076CF7" w:rsidRDefault="00365395" w:rsidP="00076CF7">
      <w:pPr>
        <w:pStyle w:val="bullet"/>
      </w:pPr>
      <w:r w:rsidRPr="00076CF7">
        <w:t>Apply core concepts and tools related to healthcare in emergencies;</w:t>
      </w:r>
    </w:p>
    <w:p w14:paraId="0ADD2BA4" w14:textId="5D5F24C0" w:rsidR="00365395" w:rsidRPr="00076CF7" w:rsidRDefault="00365395" w:rsidP="00076CF7">
      <w:pPr>
        <w:pStyle w:val="bullet"/>
      </w:pPr>
      <w:r w:rsidRPr="00076CF7">
        <w:t>Conduct a realistic and structured needs assessment and prioritization;</w:t>
      </w:r>
    </w:p>
    <w:p w14:paraId="61DFF2CA" w14:textId="67FE65DC" w:rsidR="00365395" w:rsidRPr="00076CF7" w:rsidRDefault="00365395" w:rsidP="00076CF7">
      <w:pPr>
        <w:pStyle w:val="bullet"/>
      </w:pPr>
      <w:r w:rsidRPr="00076CF7">
        <w:t>Integrate humanitarian principles and ethical considerations into emergency response planning;</w:t>
      </w:r>
    </w:p>
    <w:p w14:paraId="677222C5" w14:textId="59D96A71" w:rsidR="00365395" w:rsidRPr="00076CF7" w:rsidRDefault="00365395" w:rsidP="00076CF7">
      <w:pPr>
        <w:pStyle w:val="bullet"/>
      </w:pPr>
      <w:r w:rsidRPr="00076CF7">
        <w:lastRenderedPageBreak/>
        <w:t>Communicate effectively and professionally in both written and oral formats;</w:t>
      </w:r>
    </w:p>
    <w:p w14:paraId="20ACD548" w14:textId="4E5643F8" w:rsidR="00365395" w:rsidRPr="00076CF7" w:rsidRDefault="00365395" w:rsidP="00076CF7">
      <w:pPr>
        <w:pStyle w:val="bullet"/>
      </w:pPr>
      <w:r w:rsidRPr="00076CF7">
        <w:t>Demonstrate systems awareness and intersectoral coordination capacity within both global and Armenian frameworks.</w:t>
      </w:r>
    </w:p>
    <w:p w14:paraId="1B9DBB06" w14:textId="217EEC59" w:rsidR="00365395" w:rsidRDefault="00365395" w:rsidP="00365395">
      <w:pPr>
        <w:spacing w:after="0"/>
        <w:jc w:val="both"/>
        <w:rPr>
          <w:rFonts w:ascii="Sylfaen" w:eastAsia="Calibri" w:hAnsi="Sylfaen" w:cs="Times New Roman"/>
          <w:kern w:val="2"/>
          <w:lang w:val="en-US" w:eastAsia="en-US"/>
        </w:rPr>
      </w:pPr>
      <w:r w:rsidRPr="00365395">
        <w:rPr>
          <w:rFonts w:ascii="Sylfaen" w:eastAsia="Calibri" w:hAnsi="Sylfaen" w:cs="Times New Roman"/>
          <w:kern w:val="2"/>
          <w:lang w:val="en-US" w:eastAsia="en-US"/>
        </w:rPr>
        <w:t>Formative assessment includes in-class scenario-based simulations, instructor-guided group work, and case-based discussions using examples from Armenia and international humanitarian settings. These activities are designed to build students’ familiarity with emergency response protocols, strengthen their decision-making skills, and support the integration of key standards and tools into real-world planning exercises. Feedback is provided throughout the module to support development of both the written response plan and the oral coordination briefing.</w:t>
      </w:r>
    </w:p>
    <w:p w14:paraId="1EF085E3" w14:textId="77777777" w:rsidR="00365395" w:rsidRDefault="00365395" w:rsidP="002133F8">
      <w:pPr>
        <w:spacing w:after="0"/>
        <w:jc w:val="both"/>
        <w:rPr>
          <w:rFonts w:ascii="Sylfaen" w:eastAsia="Calibri" w:hAnsi="Sylfaen" w:cs="Times New Roman"/>
          <w:kern w:val="2"/>
          <w:lang w:val="en-US" w:eastAsia="en-US"/>
        </w:rPr>
      </w:pPr>
    </w:p>
    <w:p w14:paraId="6022914A" w14:textId="276533BE" w:rsidR="00FD0455" w:rsidRDefault="00FD0455" w:rsidP="001C1482">
      <w:pPr>
        <w:spacing w:after="0"/>
        <w:rPr>
          <w:rFonts w:ascii="Sylfaen" w:eastAsia="Calibri" w:hAnsi="Sylfaen" w:cs="Times New Roman"/>
          <w:b/>
          <w:bCs/>
          <w:i/>
          <w:iCs/>
          <w:color w:val="4F81BD" w:themeColor="accent1"/>
          <w:kern w:val="2"/>
          <w:u w:val="single"/>
          <w:lang w:val="en-US" w:eastAsia="en-US"/>
        </w:rPr>
      </w:pPr>
      <w:r w:rsidRPr="00FD0455">
        <w:rPr>
          <w:rFonts w:ascii="Sylfaen" w:eastAsia="Calibri" w:hAnsi="Sylfaen" w:cs="Times New Roman"/>
          <w:b/>
          <w:bCs/>
          <w:i/>
          <w:iCs/>
          <w:color w:val="4F81BD" w:themeColor="accent1"/>
          <w:kern w:val="2"/>
          <w:u w:val="single"/>
          <w:lang w:val="en-US" w:eastAsia="en-US"/>
        </w:rPr>
        <w:t xml:space="preserve">Strengthening Healthcare System </w:t>
      </w:r>
      <w:r w:rsidR="00E63A5D" w:rsidRPr="00E63A5D">
        <w:rPr>
          <w:rFonts w:ascii="Sylfaen" w:eastAsia="Calibri" w:hAnsi="Sylfaen" w:cs="Times New Roman"/>
          <w:b/>
          <w:bCs/>
          <w:i/>
          <w:iCs/>
          <w:color w:val="4F81BD" w:themeColor="accent1"/>
          <w:kern w:val="2"/>
          <w:u w:val="single"/>
          <w:lang w:val="en-US" w:eastAsia="en-US"/>
        </w:rPr>
        <w:t>(3 credits)</w:t>
      </w:r>
    </w:p>
    <w:p w14:paraId="6D514DF4" w14:textId="77777777" w:rsidR="00FD0455" w:rsidRDefault="00FD0455" w:rsidP="002133F8">
      <w:pPr>
        <w:spacing w:after="0"/>
        <w:jc w:val="both"/>
        <w:rPr>
          <w:rFonts w:ascii="Sylfaen" w:eastAsia="Calibri" w:hAnsi="Sylfaen" w:cs="Times New Roman"/>
          <w:kern w:val="2"/>
          <w:lang w:val="en-US" w:eastAsia="en-US"/>
        </w:rPr>
      </w:pPr>
      <w:r w:rsidRPr="00FD0455">
        <w:rPr>
          <w:rFonts w:ascii="Sylfaen" w:eastAsia="Calibri" w:hAnsi="Sylfaen" w:cs="Times New Roman"/>
          <w:kern w:val="2"/>
          <w:lang w:val="en-US" w:eastAsia="en-US"/>
        </w:rPr>
        <w:t xml:space="preserve">This module explores the structure, evolution, and reform of Armenia’s health system within the broader post-Soviet context. Students will develop a critical understanding of key health system components—including governance, financing, workforce, and service delivery—and apply strategic planning and monitoring &amp; evaluation principles to assess national policies and programs. </w:t>
      </w:r>
      <w:r>
        <w:rPr>
          <w:rFonts w:ascii="Sylfaen" w:eastAsia="Calibri" w:hAnsi="Sylfaen" w:cs="Times New Roman"/>
          <w:kern w:val="2"/>
          <w:lang w:val="en-US" w:eastAsia="en-US"/>
        </w:rPr>
        <w:t>T</w:t>
      </w:r>
      <w:r w:rsidRPr="00FD0455">
        <w:rPr>
          <w:rFonts w:ascii="Sylfaen" w:eastAsia="Calibri" w:hAnsi="Sylfaen" w:cs="Times New Roman"/>
          <w:kern w:val="2"/>
          <w:lang w:val="en-US" w:eastAsia="en-US"/>
        </w:rPr>
        <w:t>he module equips students to identify implementation gaps, analyze system challenges, and design a five-year evidence-informed health system strengthening strategy aligned with national priorities and global public health frameworks. Through case studies, comparative analyses, and practical exercises, students gain skills to evaluate, plan, and communicate actionable strategies for health system improvement in Armenia and comparable settings.</w:t>
      </w:r>
    </w:p>
    <w:p w14:paraId="28A965FD" w14:textId="2118D726"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Learning competences / objectives</w:t>
      </w:r>
      <w:r w:rsidRPr="005D6F70">
        <w:rPr>
          <w:rFonts w:ascii="Sylfaen" w:eastAsia="Calibri" w:hAnsi="Sylfaen" w:cs="Times New Roman"/>
          <w:kern w:val="2"/>
          <w:lang w:val="en-US" w:eastAsia="en-US"/>
        </w:rPr>
        <w:t xml:space="preserve"> </w:t>
      </w:r>
    </w:p>
    <w:p w14:paraId="05BA5EB9" w14:textId="231D8C75" w:rsidR="005D6F70" w:rsidRPr="00076CF7" w:rsidRDefault="005D6F70" w:rsidP="00076CF7">
      <w:pPr>
        <w:pStyle w:val="bullet"/>
      </w:pPr>
      <w:r w:rsidRPr="00076CF7">
        <w:t>Demonstrate understanding of Armenia’s health system structure, evolution, and reform process in the broader post-Soviet context.</w:t>
      </w:r>
    </w:p>
    <w:p w14:paraId="59D0A171" w14:textId="4C200EFD" w:rsidR="005D6F70" w:rsidRPr="00076CF7" w:rsidRDefault="005D6F70" w:rsidP="00076CF7">
      <w:pPr>
        <w:pStyle w:val="bullet"/>
      </w:pPr>
      <w:proofErr w:type="spellStart"/>
      <w:r w:rsidRPr="00076CF7">
        <w:t>Analyse</w:t>
      </w:r>
      <w:proofErr w:type="spellEnd"/>
      <w:r w:rsidRPr="00076CF7">
        <w:t xml:space="preserve"> critical elements of health system strengthening—governance, financing, workforce, and service delivery—using Armenia as a country case.</w:t>
      </w:r>
    </w:p>
    <w:p w14:paraId="33CE5BC5" w14:textId="75DC04BC" w:rsidR="005D6F70" w:rsidRPr="00076CF7" w:rsidRDefault="005D6F70" w:rsidP="00076CF7">
      <w:pPr>
        <w:pStyle w:val="bullet"/>
      </w:pPr>
      <w:r w:rsidRPr="00076CF7">
        <w:t>Apply principles of strategic planning and monitoring &amp; evaluation (M&amp;E) to assess and develop national health strategies.</w:t>
      </w:r>
    </w:p>
    <w:p w14:paraId="0EA367BD" w14:textId="1EEDC32C" w:rsidR="005D6F70" w:rsidRPr="00076CF7" w:rsidRDefault="005D6F70" w:rsidP="00076CF7">
      <w:pPr>
        <w:pStyle w:val="bullet"/>
      </w:pPr>
      <w:r w:rsidRPr="00076CF7">
        <w:t>Critically evaluate current national health policies, particularly Armenia’s 2021–2026 Health Strategy, to identify implementation gaps and opportunities.</w:t>
      </w:r>
    </w:p>
    <w:p w14:paraId="2DCF88F7" w14:textId="6CD36FDD" w:rsidR="005D6F70" w:rsidRPr="00076CF7" w:rsidRDefault="005D6F70" w:rsidP="00076CF7">
      <w:pPr>
        <w:pStyle w:val="bullet"/>
      </w:pPr>
      <w:r w:rsidRPr="00076CF7">
        <w:t>Design and communicate a five-year evidence-informed health system strengthening strategy for Armenia, aligned with national needs and global frameworks.</w:t>
      </w:r>
    </w:p>
    <w:p w14:paraId="0DC63444" w14:textId="77777777" w:rsidR="005D6F70" w:rsidRPr="005D6F70" w:rsidRDefault="005D6F70" w:rsidP="005D6F70">
      <w:pPr>
        <w:spacing w:after="0"/>
        <w:jc w:val="both"/>
        <w:rPr>
          <w:rFonts w:ascii="Sylfaen" w:eastAsia="Calibri" w:hAnsi="Sylfaen" w:cs="Times New Roman"/>
          <w:kern w:val="2"/>
          <w:lang w:val="en-US" w:eastAsia="en-US"/>
        </w:rPr>
      </w:pPr>
    </w:p>
    <w:p w14:paraId="07CFC197" w14:textId="4F6CD3C8"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Syllabus content</w:t>
      </w:r>
    </w:p>
    <w:p w14:paraId="484269C3" w14:textId="50702021" w:rsidR="005D6F70" w:rsidRPr="00076CF7" w:rsidRDefault="005D6F70" w:rsidP="00076CF7">
      <w:pPr>
        <w:pStyle w:val="bullet"/>
      </w:pPr>
      <w:r w:rsidRPr="00076CF7">
        <w:t>Historical development of Armenia’s health system: Soviet legacies and post-independence reforms</w:t>
      </w:r>
    </w:p>
    <w:p w14:paraId="36E0489D" w14:textId="558BB677" w:rsidR="005D6F70" w:rsidRPr="00076CF7" w:rsidRDefault="005D6F70" w:rsidP="00076CF7">
      <w:pPr>
        <w:pStyle w:val="bullet"/>
      </w:pPr>
      <w:r w:rsidRPr="00076CF7">
        <w:t>Overview of global health systems frameworks (e.g., WHO building blocks, UHC, SDGs)</w:t>
      </w:r>
    </w:p>
    <w:p w14:paraId="554E82A7" w14:textId="65A334BF" w:rsidR="005D6F70" w:rsidRPr="00076CF7" w:rsidRDefault="005D6F70" w:rsidP="00076CF7">
      <w:pPr>
        <w:pStyle w:val="bullet"/>
      </w:pPr>
      <w:r w:rsidRPr="00076CF7">
        <w:t>Governance and leadership in Armenia’s health sector and the broader post-Soviet context</w:t>
      </w:r>
    </w:p>
    <w:p w14:paraId="3FF735C8" w14:textId="72014A89" w:rsidR="005D6F70" w:rsidRPr="00076CF7" w:rsidRDefault="005D6F70" w:rsidP="00076CF7">
      <w:pPr>
        <w:pStyle w:val="bullet"/>
      </w:pPr>
      <w:r w:rsidRPr="00076CF7">
        <w:t>Analysis of Armenia’s current 5-Year Health Strategy (2021–2026) and its alignment with system needs</w:t>
      </w:r>
    </w:p>
    <w:p w14:paraId="09D70FD4" w14:textId="006332F7" w:rsidR="005D6F70" w:rsidRPr="00076CF7" w:rsidRDefault="005D6F70" w:rsidP="00076CF7">
      <w:pPr>
        <w:pStyle w:val="bullet"/>
      </w:pPr>
      <w:r w:rsidRPr="00076CF7">
        <w:t>Health workforce challenges in Armenia: training, retention, and rural distribution</w:t>
      </w:r>
    </w:p>
    <w:p w14:paraId="1A86E726" w14:textId="3FABCF48" w:rsidR="005D6F70" w:rsidRPr="00076CF7" w:rsidRDefault="005D6F70" w:rsidP="00076CF7">
      <w:pPr>
        <w:pStyle w:val="bullet"/>
      </w:pPr>
      <w:r w:rsidRPr="00076CF7">
        <w:t>Health financing in Armenia: tax-based models, Basic Benefit Package, out-of-pocket expenditures, and equity issues</w:t>
      </w:r>
    </w:p>
    <w:p w14:paraId="445E59F2" w14:textId="790338E0" w:rsidR="005D6F70" w:rsidRPr="00076CF7" w:rsidRDefault="005D6F70" w:rsidP="00076CF7">
      <w:pPr>
        <w:pStyle w:val="bullet"/>
      </w:pPr>
      <w:r w:rsidRPr="00076CF7">
        <w:t>Service delivery models in Armenia and comparative perspectives from other post-Soviet or middle-income health systems</w:t>
      </w:r>
    </w:p>
    <w:p w14:paraId="72AD7B24" w14:textId="0B609D95" w:rsidR="005D6F70" w:rsidRPr="00076CF7" w:rsidRDefault="005D6F70" w:rsidP="00076CF7">
      <w:pPr>
        <w:pStyle w:val="bullet"/>
      </w:pPr>
      <w:r w:rsidRPr="00076CF7">
        <w:t>Monitoring and evaluation (M&amp;E) tools for national health planning and policy implementation</w:t>
      </w:r>
    </w:p>
    <w:p w14:paraId="045A194E" w14:textId="332E999F" w:rsidR="005D6F70" w:rsidRPr="00076CF7" w:rsidRDefault="005D6F70" w:rsidP="00076CF7">
      <w:pPr>
        <w:pStyle w:val="bullet"/>
      </w:pPr>
      <w:r w:rsidRPr="00076CF7">
        <w:t>Case studies on health reform and emergency response in Armenia and comparable LMIC settings</w:t>
      </w:r>
    </w:p>
    <w:p w14:paraId="0F897751" w14:textId="09212B0A" w:rsidR="005D6F70" w:rsidRPr="00076CF7" w:rsidRDefault="005D6F70" w:rsidP="00076CF7">
      <w:pPr>
        <w:pStyle w:val="bullet"/>
      </w:pPr>
      <w:r w:rsidRPr="00076CF7">
        <w:lastRenderedPageBreak/>
        <w:t>Collaborative development of evidence-informed health system strengthening strategies for Armenia</w:t>
      </w:r>
    </w:p>
    <w:p w14:paraId="27B317D3" w14:textId="77777777" w:rsidR="005D6F70" w:rsidRPr="005D6F70" w:rsidRDefault="005D6F70" w:rsidP="00076CF7">
      <w:pPr>
        <w:pStyle w:val="bullet"/>
      </w:pPr>
    </w:p>
    <w:p w14:paraId="1CA5B260" w14:textId="794609F3"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 xml:space="preserve">Reading materials associated with the module. </w:t>
      </w:r>
      <w:r w:rsidRPr="005D6F70">
        <w:rPr>
          <w:rFonts w:ascii="Sylfaen" w:eastAsia="Calibri" w:hAnsi="Sylfaen" w:cs="Times New Roman"/>
          <w:kern w:val="2"/>
          <w:lang w:val="en-US" w:eastAsia="en-US"/>
        </w:rPr>
        <w:t>Note: Course is taught in Armenian. The following international sources are used by faculty to prepare Armenian-language content. Armenian sources are listed with translated titles.</w:t>
      </w:r>
    </w:p>
    <w:p w14:paraId="1C9ACD22" w14:textId="77777777" w:rsidR="005D6F70" w:rsidRPr="005D6F70" w:rsidRDefault="005D6F70" w:rsidP="00076CF7">
      <w:pPr>
        <w:pStyle w:val="bullet"/>
      </w:pPr>
      <w:r w:rsidRPr="005D6F70">
        <w:t>Ministry of Health of Armenia. (2021). National Health Strategy 2021–2026 https://moh.am</w:t>
      </w:r>
    </w:p>
    <w:p w14:paraId="48D9D178" w14:textId="77777777" w:rsidR="005D6F70" w:rsidRPr="005D6F70" w:rsidRDefault="005D6F70" w:rsidP="00076CF7">
      <w:pPr>
        <w:pStyle w:val="bullet"/>
      </w:pPr>
      <w:r w:rsidRPr="005D6F70">
        <w:t>World Health Organization (WHO). (2007). Everybody’s Business: Strengthening Health Systems to Improve Health Outcomes – WHO’s Framework for Action https://iris.who.int/handle/10665/43918</w:t>
      </w:r>
    </w:p>
    <w:p w14:paraId="7A802B26" w14:textId="77777777" w:rsidR="005D6F70" w:rsidRPr="005D6F70" w:rsidRDefault="005D6F70" w:rsidP="00076CF7">
      <w:pPr>
        <w:pStyle w:val="bullet"/>
      </w:pPr>
      <w:proofErr w:type="spellStart"/>
      <w:r w:rsidRPr="005D6F70">
        <w:t>Andreasyan</w:t>
      </w:r>
      <w:proofErr w:type="spellEnd"/>
      <w:r w:rsidRPr="005D6F70">
        <w:t xml:space="preserve">, D., </w:t>
      </w:r>
      <w:proofErr w:type="spellStart"/>
      <w:r w:rsidRPr="005D6F70">
        <w:t>Bazarchyan</w:t>
      </w:r>
      <w:proofErr w:type="spellEnd"/>
      <w:r w:rsidRPr="005D6F70">
        <w:t xml:space="preserve">, A., Arzumanyan, A., </w:t>
      </w:r>
      <w:proofErr w:type="spellStart"/>
      <w:r w:rsidRPr="005D6F70">
        <w:t>Aghazaryan</w:t>
      </w:r>
      <w:proofErr w:type="spellEnd"/>
      <w:r w:rsidRPr="005D6F70">
        <w:t xml:space="preserve">, A., </w:t>
      </w:r>
      <w:proofErr w:type="spellStart"/>
      <w:r w:rsidRPr="005D6F70">
        <w:t>Torgomyan</w:t>
      </w:r>
      <w:proofErr w:type="spellEnd"/>
      <w:r w:rsidRPr="005D6F70">
        <w:t xml:space="preserve">, I., </w:t>
      </w:r>
      <w:proofErr w:type="spellStart"/>
      <w:r w:rsidRPr="005D6F70">
        <w:t>Isakhanyan</w:t>
      </w:r>
      <w:proofErr w:type="spellEnd"/>
      <w:r w:rsidRPr="005D6F70">
        <w:t xml:space="preserve">, Sh., </w:t>
      </w:r>
      <w:proofErr w:type="spellStart"/>
      <w:r w:rsidRPr="005D6F70">
        <w:t>Saribekyan</w:t>
      </w:r>
      <w:proofErr w:type="spellEnd"/>
      <w:r w:rsidRPr="005D6F70">
        <w:t>, K., Simonyan, A., &amp; Pahlevanyan, S. (2024). Health System Performance Assessment, 2024. Yerevan.  https://nih.am/am</w:t>
      </w:r>
    </w:p>
    <w:p w14:paraId="187CA44E" w14:textId="77777777" w:rsidR="005D6F70" w:rsidRPr="005D6F70" w:rsidRDefault="005D6F70" w:rsidP="00076CF7">
      <w:pPr>
        <w:pStyle w:val="bullet"/>
      </w:pPr>
      <w:r w:rsidRPr="005D6F70">
        <w:t xml:space="preserve">World Health Organization Regional Office for Europe &amp; WHO Country Office in Armenia. (2019). Prevention and Control of Non communicable Diseases in Armenia: The Case for Investment. Copenhagen and Yerevan: WHO. https://iris.who.int/bitstream/handle/10665/380235/9789289059725-eng.pdf </w:t>
      </w:r>
    </w:p>
    <w:p w14:paraId="313CA39A" w14:textId="77777777" w:rsidR="005D6F70" w:rsidRPr="005D6F70" w:rsidRDefault="005D6F70" w:rsidP="00076CF7">
      <w:pPr>
        <w:pStyle w:val="bullet"/>
      </w:pPr>
      <w:r w:rsidRPr="005D6F70">
        <w:t>Sophie Hohmann &amp; Cécile Lefèvre (2014). Post Soviet Transformations of Health Systems in the South Caucasus.</w:t>
      </w:r>
      <w:r w:rsidRPr="005D6F70">
        <w:rPr>
          <w:rFonts w:ascii="Times New Roman" w:hAnsi="Times New Roman"/>
        </w:rPr>
        <w:t> </w:t>
      </w:r>
      <w:r w:rsidRPr="005D6F70">
        <w:t>Central Asian Affairs,</w:t>
      </w:r>
      <w:r w:rsidRPr="005D6F70">
        <w:rPr>
          <w:rFonts w:ascii="Times New Roman" w:hAnsi="Times New Roman"/>
        </w:rPr>
        <w:t> </w:t>
      </w:r>
      <w:r w:rsidRPr="005D6F70">
        <w:t>1, 48</w:t>
      </w:r>
      <w:r w:rsidRPr="005D6F70">
        <w:rPr>
          <w:rFonts w:cs="Sylfaen"/>
        </w:rPr>
        <w:t>–</w:t>
      </w:r>
      <w:r w:rsidRPr="005D6F70">
        <w:t xml:space="preserve">70. https://scholarspace.library.gwu.edu/downloads/w0892b88h?disposition=inline&amp;locale=en </w:t>
      </w:r>
    </w:p>
    <w:p w14:paraId="522320B0" w14:textId="77777777" w:rsidR="005D6F70" w:rsidRPr="005D6F70" w:rsidRDefault="005D6F70" w:rsidP="00076CF7">
      <w:pPr>
        <w:pStyle w:val="bullet"/>
      </w:pPr>
      <w:r w:rsidRPr="005D6F70">
        <w:t xml:space="preserve">World Health Organization. (2010). Monitoring the Building Blocks of Health Systems: A Handbook of Indicators and Their Measurement Strategies. Geneva: WHO. https://iris.who.int/bitstream/handle/10665/258734/9789241564052-eng.pdf </w:t>
      </w:r>
    </w:p>
    <w:p w14:paraId="1ADA4D84" w14:textId="77777777" w:rsidR="005D6F70" w:rsidRPr="005D6F70" w:rsidRDefault="005D6F70" w:rsidP="00076CF7">
      <w:pPr>
        <w:pStyle w:val="bullet"/>
      </w:pPr>
      <w:r w:rsidRPr="005D6F70">
        <w:t xml:space="preserve">Rechel, B., Richardson, E., &amp; McKee, M. (Eds.). (2014). Trends in Health Systems in the Former Soviet Countries. Observatory Studies Series No. 35. Copenhagen: European Observatory on Health Systems and Policies, World Health Organization Regional Office for Europe. https://docslib.org/download/6404206/trends-in-health-systems-in-the-former-soviet-countries </w:t>
      </w:r>
    </w:p>
    <w:p w14:paraId="7AD0389D" w14:textId="77777777" w:rsidR="005D6F70" w:rsidRPr="005D6F70" w:rsidRDefault="005D6F70" w:rsidP="00076CF7">
      <w:pPr>
        <w:pStyle w:val="bullet"/>
      </w:pPr>
      <w:r w:rsidRPr="005D6F70">
        <w:t xml:space="preserve">European Observatory. Health Systems in Transition Series – Armenia Reports https://researchonline.lshtm.ac.uk/id/eprint/1462922/2/HiT-Armenia.pdf </w:t>
      </w:r>
    </w:p>
    <w:p w14:paraId="43CD04B4" w14:textId="77777777" w:rsidR="005D6F70" w:rsidRDefault="005D6F70" w:rsidP="005D6F70">
      <w:pPr>
        <w:spacing w:after="0"/>
        <w:rPr>
          <w:rFonts w:ascii="Sylfaen" w:eastAsia="Calibri" w:hAnsi="Sylfaen" w:cs="Times New Roman"/>
          <w:b/>
          <w:bCs/>
          <w:i/>
          <w:iCs/>
          <w:kern w:val="2"/>
          <w:lang w:val="en-US" w:eastAsia="en-US"/>
        </w:rPr>
      </w:pPr>
    </w:p>
    <w:p w14:paraId="5630A0C3" w14:textId="3826CE81"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Assessments used</w:t>
      </w:r>
    </w:p>
    <w:p w14:paraId="229430F5"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The summative assessment for this module consists of two assignments:</w:t>
      </w:r>
    </w:p>
    <w:p w14:paraId="2A26F1DC"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Component A: 2,500-word written policy brief (40% weighting)</w:t>
      </w:r>
    </w:p>
    <w:p w14:paraId="33194A02"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Component B: Group oral presentation of a strategic health plan (60% weighting)</w:t>
      </w:r>
    </w:p>
    <w:p w14:paraId="6C38F455"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Written assignment. Students are required to prepare an evidence-based policy brief on a selected challenge within Armenia’s health system—such as primary care, workforce retention, or health financing. The brief must include a problem statement, contextual analysis using national health strategy documents and relevant data, proposed policy options, and strategic recommendations aligned with international health system strengthening frameworks. The policy brief should demonstrate integration of national priorities, stakeholder considerations, and feasibility of implementation.</w:t>
      </w:r>
    </w:p>
    <w:p w14:paraId="60025744"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Oral presentation. In small groups, students deliver a structured PowerPoint presentation outlining a draft 5-year strategic health development plan for Armenia. The presentation must include clear goals, key strategic interventions, implementation mechanisms, and performance indicators. Students are expected to justify their strategic priorities using available evidence and demonstrate how their plan addresses system-wide challenges through governance, financing, workforce, and service delivery components.</w:t>
      </w:r>
    </w:p>
    <w:p w14:paraId="54DAA53E" w14:textId="77777777" w:rsidR="005D6F70" w:rsidRPr="005D6F70"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lastRenderedPageBreak/>
        <w:t>Assessment will evaluate students’ ability to critically analyze Armenia’s health system, apply principles of strategic planning and health system strengthening, and communicate context-appropriate recommendations in both written and oral formats. Performance will be judged based on the depth of analysis, evidence use, clarity of recommendations, feasibility of implementation, and professional quality of communication.</w:t>
      </w:r>
    </w:p>
    <w:p w14:paraId="51DC7BD8" w14:textId="630217AF" w:rsidR="00FD0455" w:rsidRDefault="005D6F70" w:rsidP="005D6F70">
      <w:pPr>
        <w:spacing w:after="0"/>
        <w:rPr>
          <w:rFonts w:ascii="Sylfaen" w:eastAsia="Calibri" w:hAnsi="Sylfaen" w:cs="Times New Roman"/>
          <w:kern w:val="2"/>
          <w:lang w:val="en-US" w:eastAsia="en-US"/>
        </w:rPr>
      </w:pPr>
      <w:r w:rsidRPr="005D6F70">
        <w:rPr>
          <w:rFonts w:ascii="Sylfaen" w:eastAsia="Calibri" w:hAnsi="Sylfaen" w:cs="Times New Roman"/>
          <w:kern w:val="2"/>
          <w:lang w:val="en-US" w:eastAsia="en-US"/>
        </w:rPr>
        <w:t>Formative assessment includes guided case discussions, policy critique exercises, and instructor-led workshops on developing strategic frameworks and writing policy briefs. Continuous feedback supports the development of students’ analytical, writing, and presentation skills throughout the module.</w:t>
      </w:r>
    </w:p>
    <w:p w14:paraId="74922233" w14:textId="77777777" w:rsidR="005D6F70" w:rsidRDefault="005D6F70" w:rsidP="00FD0455">
      <w:pPr>
        <w:spacing w:after="0"/>
        <w:rPr>
          <w:rFonts w:ascii="Sylfaen" w:eastAsia="Calibri" w:hAnsi="Sylfaen" w:cs="Times New Roman"/>
          <w:b/>
          <w:bCs/>
          <w:i/>
          <w:iCs/>
          <w:color w:val="4F81BD" w:themeColor="accent1"/>
          <w:kern w:val="2"/>
          <w:u w:val="single"/>
          <w:lang w:val="en-US" w:eastAsia="en-US"/>
        </w:rPr>
      </w:pPr>
    </w:p>
    <w:p w14:paraId="252E95F0" w14:textId="2B3A3F10" w:rsidR="00FD0455" w:rsidRDefault="00FD0455" w:rsidP="00FD0455">
      <w:pPr>
        <w:spacing w:after="0"/>
        <w:rPr>
          <w:rFonts w:ascii="Sylfaen" w:eastAsia="Calibri" w:hAnsi="Sylfaen" w:cs="Times New Roman"/>
          <w:b/>
          <w:bCs/>
          <w:i/>
          <w:iCs/>
          <w:color w:val="4F81BD" w:themeColor="accent1"/>
          <w:kern w:val="2"/>
          <w:u w:val="single"/>
          <w:lang w:val="en-US" w:eastAsia="en-US"/>
        </w:rPr>
      </w:pPr>
      <w:r w:rsidRPr="00FD0455">
        <w:rPr>
          <w:rFonts w:ascii="Sylfaen" w:eastAsia="Calibri" w:hAnsi="Sylfaen" w:cs="Times New Roman"/>
          <w:b/>
          <w:bCs/>
          <w:i/>
          <w:iCs/>
          <w:color w:val="4F81BD" w:themeColor="accent1"/>
          <w:kern w:val="2"/>
          <w:u w:val="single"/>
          <w:lang w:val="en-US" w:eastAsia="en-US"/>
        </w:rPr>
        <w:t>Violence and Injury Prevention</w:t>
      </w:r>
      <w:r w:rsidR="00E63A5D">
        <w:rPr>
          <w:rFonts w:ascii="Sylfaen" w:eastAsia="Calibri" w:hAnsi="Sylfaen" w:cs="Times New Roman"/>
          <w:b/>
          <w:bCs/>
          <w:i/>
          <w:iCs/>
          <w:color w:val="4F81BD" w:themeColor="accent1"/>
          <w:kern w:val="2"/>
          <w:u w:val="single"/>
          <w:lang w:val="en-US" w:eastAsia="en-US"/>
        </w:rPr>
        <w:t xml:space="preserve"> </w:t>
      </w:r>
      <w:r w:rsidR="00E63A5D" w:rsidRPr="00E63A5D">
        <w:rPr>
          <w:rFonts w:ascii="Sylfaen" w:eastAsia="Calibri" w:hAnsi="Sylfaen" w:cs="Times New Roman"/>
          <w:b/>
          <w:bCs/>
          <w:i/>
          <w:iCs/>
          <w:color w:val="4F81BD" w:themeColor="accent1"/>
          <w:kern w:val="2"/>
          <w:u w:val="single"/>
          <w:lang w:val="en-US" w:eastAsia="en-US"/>
        </w:rPr>
        <w:t>(3 credits)</w:t>
      </w:r>
    </w:p>
    <w:p w14:paraId="528506A5" w14:textId="797C8447" w:rsidR="00FD0455" w:rsidRDefault="00FD0455" w:rsidP="002133F8">
      <w:pPr>
        <w:spacing w:after="0"/>
        <w:jc w:val="both"/>
        <w:rPr>
          <w:rFonts w:ascii="Sylfaen" w:eastAsia="Calibri" w:hAnsi="Sylfaen" w:cs="Times New Roman"/>
          <w:kern w:val="2"/>
          <w:lang w:val="en-US" w:eastAsia="en-US"/>
        </w:rPr>
      </w:pPr>
      <w:r w:rsidRPr="00FD0455">
        <w:rPr>
          <w:rFonts w:ascii="Sylfaen" w:eastAsia="Calibri" w:hAnsi="Sylfaen" w:cs="Times New Roman"/>
          <w:kern w:val="2"/>
          <w:lang w:val="en-US" w:eastAsia="en-US"/>
        </w:rPr>
        <w:t>This module provides a comprehensive overview of the epidemiology, risk factors, and public health burden of injuries and violence at local, national, and global levels. Students will critically evaluate strategies and policies for the prevention of both intentional (e.g., interpersonal and gender-based violence) and unintentional injuries (e.g., road traffic accidents, occupational injuries, falls), applying public health frameworks to design, implement, and assess interventions. Emphasis is placed on ethical considerations, equity, and protection of vulnerable populations. The module also explores the role of legislation, community engagement, and intersectoral collaboration in reducing harm, with reference to national institutions, policies, and data. Through case studies, applied exercises, and policy analysis, students gain practical skills to develop evidence-informed strategies for injury and violence prevention.</w:t>
      </w:r>
    </w:p>
    <w:p w14:paraId="7D368029" w14:textId="6D404681"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Learning competences / objectives</w:t>
      </w:r>
      <w:r w:rsidRPr="005D6F70">
        <w:rPr>
          <w:rFonts w:ascii="Sylfaen" w:eastAsia="Calibri" w:hAnsi="Sylfaen" w:cs="Times New Roman"/>
          <w:kern w:val="2"/>
          <w:lang w:val="en-US" w:eastAsia="en-US"/>
        </w:rPr>
        <w:t xml:space="preserve"> </w:t>
      </w:r>
    </w:p>
    <w:p w14:paraId="2EDF93B7" w14:textId="160736AD" w:rsidR="005D6F70" w:rsidRPr="00076CF7" w:rsidRDefault="005D6F70" w:rsidP="00076CF7">
      <w:pPr>
        <w:pStyle w:val="bullet"/>
      </w:pPr>
      <w:r w:rsidRPr="00076CF7">
        <w:t>Demonstrate understanding of the epidemiology, risk factors, and public health burden of injuries and violence at local, national, and global levels.</w:t>
      </w:r>
    </w:p>
    <w:p w14:paraId="52329FD5" w14:textId="2DC93868" w:rsidR="005D6F70" w:rsidRPr="00076CF7" w:rsidRDefault="005D6F70" w:rsidP="00076CF7">
      <w:pPr>
        <w:pStyle w:val="bullet"/>
      </w:pPr>
      <w:r w:rsidRPr="00076CF7">
        <w:t>Critically assess strategies and policies for the prevention of intentional (e.g., interpersonal violence, gender-based violence) and unintentional injuries (e.g., road traffic, occupational, falls) across different contexts.</w:t>
      </w:r>
    </w:p>
    <w:p w14:paraId="7B2A8BBC" w14:textId="1B85B20B" w:rsidR="005D6F70" w:rsidRPr="00076CF7" w:rsidRDefault="005D6F70" w:rsidP="00076CF7">
      <w:pPr>
        <w:pStyle w:val="bullet"/>
      </w:pPr>
      <w:r w:rsidRPr="00076CF7">
        <w:t>Apply public health frameworks to design, implement, and evaluate violence and injury prevention interventions, with attention to ethical considerations, equity, and the protection of vulnerable groups.</w:t>
      </w:r>
    </w:p>
    <w:p w14:paraId="2A3FB7F0" w14:textId="730C15AD" w:rsidR="005D6F70" w:rsidRPr="00076CF7" w:rsidRDefault="005D6F70" w:rsidP="00076CF7">
      <w:pPr>
        <w:pStyle w:val="bullet"/>
      </w:pPr>
      <w:r w:rsidRPr="00076CF7">
        <w:t>Analyze the role of legislation, community engagement, and intersectoral collaboration in preventing and reducing harm related to injuries and violence, taking into account nationally relevant institutions, policies, and data.</w:t>
      </w:r>
    </w:p>
    <w:p w14:paraId="698049C7" w14:textId="77777777" w:rsidR="005D6F70" w:rsidRPr="00076CF7" w:rsidRDefault="005D6F70" w:rsidP="00076CF7">
      <w:pPr>
        <w:pStyle w:val="bullet"/>
      </w:pPr>
    </w:p>
    <w:p w14:paraId="799B3E17" w14:textId="68FA286F" w:rsidR="005D6F70" w:rsidRPr="005D6F70" w:rsidRDefault="005D6F70" w:rsidP="005D6F70">
      <w:pPr>
        <w:spacing w:after="0"/>
        <w:jc w:val="both"/>
        <w:rPr>
          <w:rFonts w:ascii="Sylfaen" w:eastAsia="Calibri" w:hAnsi="Sylfaen" w:cs="Times New Roman"/>
          <w:b/>
          <w:bCs/>
          <w:i/>
          <w:iCs/>
          <w:kern w:val="2"/>
          <w:lang w:val="en-US" w:eastAsia="en-US"/>
        </w:rPr>
      </w:pPr>
      <w:r w:rsidRPr="005D6F70">
        <w:rPr>
          <w:rFonts w:ascii="Sylfaen" w:eastAsia="Calibri" w:hAnsi="Sylfaen" w:cs="Times New Roman"/>
          <w:b/>
          <w:bCs/>
          <w:i/>
          <w:iCs/>
          <w:kern w:val="2"/>
          <w:lang w:val="en-US" w:eastAsia="en-US"/>
        </w:rPr>
        <w:t>Syllabus content</w:t>
      </w:r>
    </w:p>
    <w:p w14:paraId="53AA00A6" w14:textId="4EE4A6BE" w:rsidR="005D6F70" w:rsidRPr="00076CF7" w:rsidRDefault="005D6F70" w:rsidP="00076CF7">
      <w:pPr>
        <w:pStyle w:val="bullet"/>
      </w:pPr>
      <w:r w:rsidRPr="00076CF7">
        <w:t>Epidemiology and burden of injuries and violence (intentional and unintentional) at global, national, and local levels</w:t>
      </w:r>
    </w:p>
    <w:p w14:paraId="3BE7C9BB" w14:textId="17D4E032" w:rsidR="005D6F70" w:rsidRPr="00076CF7" w:rsidRDefault="005D6F70" w:rsidP="00076CF7">
      <w:pPr>
        <w:pStyle w:val="bullet"/>
      </w:pPr>
      <w:r w:rsidRPr="00076CF7">
        <w:t>Risk factors, social determinants, and population vulnerabilities, including those identified in national statistics and public health assessments</w:t>
      </w:r>
    </w:p>
    <w:p w14:paraId="4632D437" w14:textId="0ADF2F52" w:rsidR="005D6F70" w:rsidRPr="00076CF7" w:rsidRDefault="005D6F70" w:rsidP="00076CF7">
      <w:pPr>
        <w:pStyle w:val="bullet"/>
      </w:pPr>
      <w:r w:rsidRPr="00076CF7">
        <w:t>Frameworks for prevention: Haddon Matrix, ecological model, and the public health approach</w:t>
      </w:r>
    </w:p>
    <w:p w14:paraId="27040E2F" w14:textId="746B54BB" w:rsidR="005D6F70" w:rsidRPr="00076CF7" w:rsidRDefault="005D6F70" w:rsidP="00076CF7">
      <w:pPr>
        <w:pStyle w:val="bullet"/>
      </w:pPr>
      <w:r w:rsidRPr="00076CF7">
        <w:t>Policy and programmatic strategies: legislation, road safety, occupational health, urban design, and school-based and community-based interventions</w:t>
      </w:r>
    </w:p>
    <w:p w14:paraId="61A0F07F" w14:textId="7691A4E9" w:rsidR="005D6F70" w:rsidRPr="00076CF7" w:rsidRDefault="005D6F70" w:rsidP="00076CF7">
      <w:pPr>
        <w:pStyle w:val="bullet"/>
      </w:pPr>
      <w:r w:rsidRPr="00076CF7">
        <w:t>Intersectoral approaches involving health, law enforcement, education, and civil society actors</w:t>
      </w:r>
    </w:p>
    <w:p w14:paraId="763726A7" w14:textId="1471CC62" w:rsidR="005D6F70" w:rsidRPr="00076CF7" w:rsidRDefault="005D6F70" w:rsidP="00076CF7">
      <w:pPr>
        <w:pStyle w:val="bullet"/>
      </w:pPr>
      <w:r w:rsidRPr="00076CF7">
        <w:t>Role of legal frameworks, national safety policies, and protection services in injury and violence prevention</w:t>
      </w:r>
    </w:p>
    <w:p w14:paraId="3CD2D1CC" w14:textId="1ADC2839" w:rsidR="005D6F70" w:rsidRPr="00076CF7" w:rsidRDefault="005D6F70" w:rsidP="00076CF7">
      <w:pPr>
        <w:pStyle w:val="bullet"/>
      </w:pPr>
      <w:r w:rsidRPr="00076CF7">
        <w:lastRenderedPageBreak/>
        <w:t>Monitoring and evaluation of prevention programs: effectiveness, equity, sustainability, and impact on public health outcomes</w:t>
      </w:r>
    </w:p>
    <w:p w14:paraId="7EC76622" w14:textId="77777777" w:rsidR="005D6F70" w:rsidRPr="005D6F70" w:rsidRDefault="005D6F70" w:rsidP="005D6F70">
      <w:pPr>
        <w:spacing w:after="0"/>
        <w:jc w:val="both"/>
        <w:rPr>
          <w:rFonts w:ascii="Sylfaen" w:eastAsia="Calibri" w:hAnsi="Sylfaen" w:cs="Times New Roman"/>
          <w:kern w:val="2"/>
          <w:lang w:val="en-US" w:eastAsia="en-US"/>
        </w:rPr>
      </w:pPr>
    </w:p>
    <w:p w14:paraId="42A61D30" w14:textId="556D3E60"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b/>
          <w:bCs/>
          <w:i/>
          <w:iCs/>
          <w:kern w:val="2"/>
          <w:lang w:val="en-US" w:eastAsia="en-US"/>
        </w:rPr>
        <w:t>Reading materials associated with the module.</w:t>
      </w:r>
      <w:r w:rsidRPr="005D6F70">
        <w:rPr>
          <w:rFonts w:ascii="Sylfaen" w:eastAsia="Calibri" w:hAnsi="Sylfaen" w:cs="Times New Roman"/>
          <w:kern w:val="2"/>
          <w:lang w:val="en-US" w:eastAsia="en-US"/>
        </w:rPr>
        <w:t xml:space="preserve"> Note: Course is taught in Armenian. The following international sources are used by faculty to prepare Armenian-language content. Armenian sources are listed with translated titles.</w:t>
      </w:r>
    </w:p>
    <w:p w14:paraId="0655B3C7" w14:textId="77777777" w:rsidR="005D6F70" w:rsidRPr="005D6F70" w:rsidRDefault="005D6F70" w:rsidP="00076CF7">
      <w:pPr>
        <w:pStyle w:val="bullet"/>
      </w:pPr>
      <w:r w:rsidRPr="005D6F70">
        <w:t>Donnelly, P. &amp; Ward, C.L. (eds) 2015, Oxford Textbook of Violence Prevention: Epidemiology, Evidence, and Policy, Oxford University Press, New York.</w:t>
      </w:r>
    </w:p>
    <w:p w14:paraId="165221A7" w14:textId="77777777" w:rsidR="005D6F70" w:rsidRPr="005D6F70" w:rsidRDefault="005D6F70" w:rsidP="00076CF7">
      <w:pPr>
        <w:pStyle w:val="bullet"/>
      </w:pPr>
      <w:r w:rsidRPr="005D6F70">
        <w:t xml:space="preserve">Krug, E.G., Dahlberg, L.L., Mercy, J.A., Zwi, A.B., &amp; Lozano, R. (2002). World Report on Violence and Health. Geneva: World Health Organization. https://iris.who.int/bitstream/handle/10665/42495/9241545615_eng.pdf </w:t>
      </w:r>
    </w:p>
    <w:p w14:paraId="793AE8B6" w14:textId="73DA605E" w:rsidR="005D6F70" w:rsidRPr="005D6F70" w:rsidRDefault="005D6F70" w:rsidP="00076CF7">
      <w:pPr>
        <w:pStyle w:val="bullet"/>
      </w:pPr>
      <w:r w:rsidRPr="005D6F70">
        <w:t xml:space="preserve">World Health Organization (2001). Injury Surveillance Guidelines. Geneva: WHO. (WHO/NMH/VIP/01.02). https://www.zhiyanbao.cn/index/partFile/5/who/2022-04/5_30420.pdf </w:t>
      </w:r>
    </w:p>
    <w:p w14:paraId="354DECA4" w14:textId="77777777" w:rsidR="005D6F70" w:rsidRPr="005D6F70" w:rsidRDefault="005D6F70" w:rsidP="00076CF7">
      <w:pPr>
        <w:pStyle w:val="bullet"/>
      </w:pPr>
      <w:r w:rsidRPr="005D6F70">
        <w:t>Doll, L.S., Bonzo, S.E., Sleet, D.A., &amp; Mercy, J.A. (2007). Handbook of Injury and Violence Prevention. New York: Springer.</w:t>
      </w:r>
    </w:p>
    <w:p w14:paraId="7A2B6C9A" w14:textId="77777777" w:rsidR="005D6F70" w:rsidRPr="005D6F70" w:rsidRDefault="005D6F70" w:rsidP="00076CF7">
      <w:pPr>
        <w:pStyle w:val="bullet"/>
      </w:pPr>
      <w:r w:rsidRPr="005D6F70">
        <w:t>Ministry of Health of the Republic of Armenia &amp; National Institute of Health (2024). National Report on Health System Performance Assessment. Yerevan: MoH/NIH. (includes injury-related indicators) https://moh.am</w:t>
      </w:r>
    </w:p>
    <w:p w14:paraId="600AFE35" w14:textId="77777777" w:rsidR="005D6F70" w:rsidRPr="005D6F70" w:rsidRDefault="005D6F70" w:rsidP="00076CF7">
      <w:pPr>
        <w:pStyle w:val="bullet"/>
      </w:pPr>
      <w:r w:rsidRPr="005D6F70">
        <w:t xml:space="preserve">Ministry of Labor and Social Affairs (2023). Strategy for the Prevention of Gender-Based and Domestic Violence in Armenia (2023–2027). Yerevan: Government of Armenia. https://www.mlsa.am/ </w:t>
      </w:r>
    </w:p>
    <w:p w14:paraId="151D5B63" w14:textId="77777777" w:rsidR="005D6F70" w:rsidRPr="005D6F70" w:rsidRDefault="005D6F70" w:rsidP="00076CF7">
      <w:pPr>
        <w:pStyle w:val="bullet"/>
      </w:pPr>
      <w:r w:rsidRPr="005D6F70">
        <w:t xml:space="preserve">National Statistical Committee of the Republic of Armenia (2023). Statistical Yearbook: Injuries and Causes of Death. Yerevan: https://armstat.am/am/ </w:t>
      </w:r>
    </w:p>
    <w:p w14:paraId="3084AF27" w14:textId="77777777" w:rsidR="005D6F70" w:rsidRPr="005D6F70" w:rsidRDefault="005D6F70" w:rsidP="00076CF7">
      <w:pPr>
        <w:pStyle w:val="bullet"/>
      </w:pPr>
      <w:r w:rsidRPr="005D6F70">
        <w:t xml:space="preserve">UNICEF Armenia &amp; Ministry of Health (2020). Country Office Annual Report. Yerevan: UNICEF. https://www.unicef.org/media/100471/file/Armenia-2020-COAR.pdf </w:t>
      </w:r>
    </w:p>
    <w:p w14:paraId="38F72A1B" w14:textId="77777777" w:rsidR="005D6F70" w:rsidRDefault="005D6F70" w:rsidP="00076CF7">
      <w:pPr>
        <w:pStyle w:val="bullet"/>
        <w:rPr>
          <w:b/>
          <w:bCs/>
          <w:i/>
          <w:iCs/>
        </w:rPr>
      </w:pPr>
    </w:p>
    <w:p w14:paraId="5140DCFD" w14:textId="1134FDBE" w:rsidR="005D6F70" w:rsidRPr="005D6F70" w:rsidRDefault="005D6F70" w:rsidP="005D6F70">
      <w:pPr>
        <w:spacing w:after="0"/>
        <w:jc w:val="both"/>
        <w:rPr>
          <w:rFonts w:ascii="Sylfaen" w:eastAsia="Calibri" w:hAnsi="Sylfaen" w:cs="Times New Roman"/>
          <w:b/>
          <w:bCs/>
          <w:i/>
          <w:iCs/>
          <w:kern w:val="2"/>
          <w:lang w:val="en-US" w:eastAsia="en-US"/>
        </w:rPr>
      </w:pPr>
      <w:r w:rsidRPr="005D6F70">
        <w:rPr>
          <w:rFonts w:ascii="Sylfaen" w:eastAsia="Calibri" w:hAnsi="Sylfaen" w:cs="Times New Roman"/>
          <w:b/>
          <w:bCs/>
          <w:i/>
          <w:iCs/>
          <w:kern w:val="2"/>
          <w:lang w:val="en-US" w:eastAsia="en-US"/>
        </w:rPr>
        <w:t xml:space="preserve">Assessments used </w:t>
      </w:r>
    </w:p>
    <w:p w14:paraId="406AA5DC" w14:textId="7AD7AE4E" w:rsidR="005D6F70" w:rsidRPr="005D6F70" w:rsidRDefault="005D6F70" w:rsidP="005D6F70">
      <w:pPr>
        <w:spacing w:after="0"/>
        <w:jc w:val="both"/>
        <w:rPr>
          <w:rFonts w:ascii="Sylfaen" w:eastAsia="Calibri" w:hAnsi="Sylfaen" w:cs="Times New Roman"/>
          <w:kern w:val="2"/>
          <w:lang w:val="en-US" w:eastAsia="en-US"/>
        </w:rPr>
      </w:pPr>
      <w:r w:rsidRPr="005D6F70">
        <w:rPr>
          <w:rFonts w:ascii="Sylfaen" w:eastAsia="Calibri" w:hAnsi="Sylfaen" w:cs="Times New Roman"/>
          <w:kern w:val="2"/>
          <w:lang w:val="en-US" w:eastAsia="en-US"/>
        </w:rPr>
        <w:t>The summative assessment is based on a 10–15-minute oral presentation supported by PowerPoint slides. Students are required to assess a specific type of injury or form of violence affecting a defined population, analyze its burden and determinants, and propose a comprehensive prevention strategy. Presentations must incorporate relevant theoretical frameworks, risk factor assessment, and evidence-based interventions, along with practical policy or community-level solutions. Assessment will evaluate students’ ability to critically apply public health models, integrate and interpret data, and communicate a coherent, context-appropriate intervention in a clear and structured manner.</w:t>
      </w:r>
    </w:p>
    <w:p w14:paraId="162CEDC4" w14:textId="1D9D12FA" w:rsidR="00FD0455" w:rsidRPr="00400F7F" w:rsidRDefault="005D6F70" w:rsidP="00400F7F">
      <w:pPr>
        <w:spacing w:after="0"/>
        <w:jc w:val="both"/>
        <w:rPr>
          <w:rFonts w:ascii="Sylfaen" w:eastAsia="Calibri" w:hAnsi="Sylfaen" w:cs="Times New Roman"/>
          <w:kern w:val="2"/>
          <w:lang w:val="en-US" w:eastAsia="en-US"/>
        </w:rPr>
      </w:pPr>
      <w:r w:rsidRPr="005D6F70">
        <w:rPr>
          <w:rFonts w:ascii="Sylfaen" w:eastAsia="Calibri" w:hAnsi="Sylfaen" w:cs="Times New Roman"/>
          <w:kern w:val="2"/>
          <w:lang w:val="en-US" w:eastAsia="en-US"/>
        </w:rPr>
        <w:t>Formative assessment includes structured in-class group work, facilitated discussions on national and international case studies, and instructor feedback on draft prevention campaigns or policy proposals, helping students refine their strategies and deepen their understanding of injury and violence prevention in both global and Armenian contexts.</w:t>
      </w:r>
    </w:p>
    <w:p w14:paraId="0622ED02" w14:textId="77777777" w:rsidR="009D5B05" w:rsidRPr="00916805" w:rsidRDefault="006C53C1" w:rsidP="009D5B05">
      <w:pPr>
        <w:spacing w:after="0" w:line="240" w:lineRule="auto"/>
        <w:jc w:val="center"/>
        <w:rPr>
          <w:rFonts w:ascii="Sylfaen" w:eastAsia="Times New Roman" w:hAnsi="Sylfaen" w:cs="Times New Roman"/>
          <w:b/>
          <w:bCs/>
          <w:i/>
          <w:iCs/>
          <w:caps/>
          <w:color w:val="4F81BD" w:themeColor="accent1"/>
          <w:lang w:val="en-US"/>
        </w:rPr>
      </w:pPr>
      <w:r w:rsidRPr="00916805">
        <w:rPr>
          <w:rFonts w:eastAsia="Times New Roman"/>
          <w:b/>
          <w:iCs/>
          <w:caps/>
          <w:lang w:val="en-US"/>
        </w:rPr>
        <w:br w:type="page"/>
      </w:r>
      <w:bookmarkStart w:id="29" w:name="_ROLES_AND_RESPONSIBILITIES"/>
      <w:bookmarkStart w:id="30" w:name="_Toc207988638"/>
      <w:bookmarkStart w:id="31" w:name="_Toc207988635"/>
      <w:bookmarkEnd w:id="29"/>
      <w:r w:rsidR="009D5B05" w:rsidRPr="009D5B05">
        <w:rPr>
          <w:rStyle w:val="Heading1Char"/>
          <w:lang w:val="en-US"/>
        </w:rPr>
        <w:lastRenderedPageBreak/>
        <w:t>INTEGRATING EXPERIENCE</w:t>
      </w:r>
      <w:bookmarkEnd w:id="30"/>
      <w:r w:rsidR="009D5B05" w:rsidRPr="00B605DC">
        <w:rPr>
          <w:rFonts w:ascii="Sylfaen" w:eastAsia="Times New Roman" w:hAnsi="Sylfaen" w:cs="Times New Roman"/>
          <w:b/>
          <w:bCs/>
          <w:i/>
          <w:color w:val="4F81BD" w:themeColor="accent1"/>
          <w:lang w:val="en-US"/>
        </w:rPr>
        <w:t xml:space="preserve"> </w:t>
      </w:r>
      <w:r w:rsidR="009D5B05" w:rsidRPr="00E63A5D">
        <w:rPr>
          <w:rFonts w:ascii="Sylfaen" w:eastAsia="Times New Roman" w:hAnsi="Sylfaen" w:cs="Times New Roman"/>
          <w:b/>
          <w:bCs/>
          <w:i/>
          <w:color w:val="4F81BD" w:themeColor="accent1"/>
          <w:lang w:val="en-US"/>
        </w:rPr>
        <w:t>(</w:t>
      </w:r>
      <w:r w:rsidR="009D5B05">
        <w:rPr>
          <w:rFonts w:ascii="Sylfaen" w:eastAsia="Times New Roman" w:hAnsi="Sylfaen" w:cs="Times New Roman"/>
          <w:b/>
          <w:bCs/>
          <w:i/>
          <w:color w:val="4F81BD" w:themeColor="accent1"/>
          <w:lang w:val="en-US"/>
        </w:rPr>
        <w:t>12</w:t>
      </w:r>
      <w:r w:rsidR="009D5B05" w:rsidRPr="00E63A5D">
        <w:rPr>
          <w:rFonts w:ascii="Sylfaen" w:eastAsia="Times New Roman" w:hAnsi="Sylfaen" w:cs="Times New Roman"/>
          <w:b/>
          <w:bCs/>
          <w:i/>
          <w:color w:val="4F81BD" w:themeColor="accent1"/>
          <w:lang w:val="en-US"/>
        </w:rPr>
        <w:t xml:space="preserve"> credits)</w:t>
      </w:r>
      <w:r w:rsidR="009D5B05" w:rsidRPr="00916805">
        <w:rPr>
          <w:rFonts w:ascii="Sylfaen" w:eastAsia="Calibri" w:hAnsi="Sylfaen" w:cs="Times New Roman"/>
          <w:b/>
          <w:bCs/>
          <w:i/>
          <w:iCs/>
          <w:noProof/>
          <w:color w:val="4472C4"/>
          <w:kern w:val="2"/>
          <w:lang w:val="en-US" w:eastAsia="en-US"/>
        </w:rPr>
        <w:drawing>
          <wp:inline distT="0" distB="0" distL="0" distR="0" wp14:anchorId="5352ECF3" wp14:editId="2F591925">
            <wp:extent cx="5693395" cy="138271"/>
            <wp:effectExtent l="0" t="0" r="0" b="0"/>
            <wp:docPr id="150277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9069" cy="153952"/>
                    </a:xfrm>
                    <a:prstGeom prst="rect">
                      <a:avLst/>
                    </a:prstGeom>
                    <a:noFill/>
                  </pic:spPr>
                </pic:pic>
              </a:graphicData>
            </a:graphic>
          </wp:inline>
        </w:drawing>
      </w:r>
    </w:p>
    <w:p w14:paraId="04EB2438" w14:textId="77777777" w:rsidR="009D5B05" w:rsidRPr="00916805" w:rsidRDefault="009D5B05" w:rsidP="009D5B05">
      <w:pPr>
        <w:spacing w:after="0" w:line="240" w:lineRule="auto"/>
        <w:jc w:val="center"/>
        <w:rPr>
          <w:rFonts w:ascii="Sylfaen" w:eastAsia="Times New Roman" w:hAnsi="Sylfaen" w:cs="Times New Roman"/>
          <w:b/>
          <w:bCs/>
          <w:iCs/>
          <w:caps/>
          <w:color w:val="4F81BD" w:themeColor="accent1"/>
          <w:lang w:val="en-US"/>
        </w:rPr>
      </w:pPr>
    </w:p>
    <w:p w14:paraId="4BD93E8D" w14:textId="77777777" w:rsidR="009D5B05" w:rsidRPr="00B605DC" w:rsidRDefault="009D5B05" w:rsidP="009D5B05">
      <w:pPr>
        <w:spacing w:after="0"/>
        <w:jc w:val="both"/>
        <w:rPr>
          <w:rFonts w:ascii="Sylfaen" w:hAnsi="Sylfaen"/>
          <w:lang w:val="en-US"/>
        </w:rPr>
      </w:pPr>
      <w:r w:rsidRPr="00B605DC">
        <w:rPr>
          <w:rFonts w:ascii="Sylfaen" w:hAnsi="Sylfaen"/>
          <w:lang w:val="en-US"/>
        </w:rPr>
        <w:t>The Integrating Experience is the capstone of the MPH program, designed to demonstrate students’ ability to apply their knowledge and skills in healthcare management and public health. It consists of three core components: the Written Master Thesis, the Interdisciplinary Computer-Based Examination, and the Oral Defense of the Master Thesis. Completion of all components is required for graduation.</w:t>
      </w:r>
    </w:p>
    <w:p w14:paraId="684188A1" w14:textId="77777777" w:rsidR="009D5B05" w:rsidRPr="00B605DC" w:rsidRDefault="009D5B05" w:rsidP="009D5B05">
      <w:pPr>
        <w:spacing w:after="0"/>
        <w:jc w:val="both"/>
        <w:rPr>
          <w:rFonts w:ascii="Sylfaen" w:hAnsi="Sylfaen"/>
          <w:lang w:val="en-US"/>
        </w:rPr>
      </w:pPr>
      <w:r w:rsidRPr="00B605DC">
        <w:rPr>
          <w:rFonts w:ascii="Sylfaen" w:hAnsi="Sylfaen"/>
          <w:lang w:val="en-US"/>
        </w:rPr>
        <w:t xml:space="preserve">The Written Master Thesis involves independent research under the guidance of a qualified supervisor. Students develop a research plan, obtain ethical approval, collect and analyze data, and prepare a full thesis following YSMU academic and formatting standards. Supervisors provide ongoing feedback on interim drafts, data analysis, and writing. </w:t>
      </w:r>
      <w:proofErr w:type="spellStart"/>
      <w:r w:rsidRPr="00B605DC">
        <w:rPr>
          <w:rFonts w:ascii="Sylfaen" w:hAnsi="Sylfaen"/>
          <w:lang w:val="en-US"/>
        </w:rPr>
        <w:t>Theses</w:t>
      </w:r>
      <w:proofErr w:type="spellEnd"/>
      <w:r w:rsidRPr="00B605DC">
        <w:rPr>
          <w:rFonts w:ascii="Sylfaen" w:hAnsi="Sylfaen"/>
          <w:lang w:val="en-US"/>
        </w:rPr>
        <w:t xml:space="preserve"> are evaluated by an Examination Board using a standardized rubric to ensure consistency, rigor, and fairness.</w:t>
      </w:r>
    </w:p>
    <w:p w14:paraId="3523676C" w14:textId="77777777" w:rsidR="009D5B05" w:rsidRPr="00B605DC" w:rsidRDefault="009D5B05" w:rsidP="009D5B05">
      <w:pPr>
        <w:spacing w:after="0"/>
        <w:jc w:val="both"/>
        <w:rPr>
          <w:rFonts w:ascii="Sylfaen" w:hAnsi="Sylfaen"/>
          <w:lang w:val="en-US"/>
        </w:rPr>
      </w:pPr>
      <w:r w:rsidRPr="00B605DC">
        <w:rPr>
          <w:rFonts w:ascii="Sylfaen" w:hAnsi="Sylfaen"/>
          <w:lang w:val="en-US"/>
        </w:rPr>
        <w:t>The Interdisciplinary Computer-Based Examination is conducted at the end of the final semester and assesses knowledge across healthcare planning, management, and quality improvement. The exam uses multiple-choice, single-best-answer, and exception-type questions under standardized conditions. Passing this exam is required before progressing to the oral defense.</w:t>
      </w:r>
    </w:p>
    <w:p w14:paraId="2A437965" w14:textId="77777777" w:rsidR="009D5B05" w:rsidRPr="00B605DC" w:rsidRDefault="009D5B05" w:rsidP="009D5B05">
      <w:pPr>
        <w:spacing w:after="0"/>
        <w:jc w:val="both"/>
        <w:rPr>
          <w:rFonts w:ascii="Sylfaen" w:hAnsi="Sylfaen"/>
          <w:lang w:val="en-US"/>
        </w:rPr>
      </w:pPr>
      <w:r w:rsidRPr="00B605DC">
        <w:rPr>
          <w:rFonts w:ascii="Sylfaen" w:hAnsi="Sylfaen"/>
          <w:lang w:val="en-US"/>
        </w:rPr>
        <w:t>The Oral Defense of the Master Thesis allows students to present and defend their research before the Examination Board. The defense includes a structured presentation, responses to reviewer feedback, and a discussion with examiners. Students receive guidance from their supervisors in preparing presentations and practicing responses. The defense is evaluated on both content and presentation using a standardized rubric.</w:t>
      </w:r>
    </w:p>
    <w:p w14:paraId="7994E564" w14:textId="77777777" w:rsidR="009D5B05" w:rsidRDefault="009D5B05" w:rsidP="009D5B05">
      <w:pPr>
        <w:spacing w:after="0"/>
        <w:jc w:val="both"/>
        <w:rPr>
          <w:rFonts w:ascii="Sylfaen" w:hAnsi="Sylfaen"/>
          <w:lang w:val="en-US"/>
        </w:rPr>
      </w:pPr>
      <w:r w:rsidRPr="00B605DC">
        <w:rPr>
          <w:rFonts w:ascii="Sylfaen" w:hAnsi="Sylfaen"/>
          <w:lang w:val="en-US"/>
        </w:rPr>
        <w:t>Throughout the Integrating Experience, students have access to university resources, including research databases, statistical software training, writing support, formatting templates, and administrative assistance. The capstone ensures students can conduct independent, ethically sound research, synthesize knowledge, and communicate findings effectively, preparing them for leadership roles in healthcare management and public health.</w:t>
      </w:r>
    </w:p>
    <w:p w14:paraId="60311507" w14:textId="77777777" w:rsidR="009D5B05" w:rsidRPr="00916805" w:rsidRDefault="009D5B05" w:rsidP="009D5B05">
      <w:pPr>
        <w:spacing w:after="0"/>
        <w:jc w:val="both"/>
        <w:rPr>
          <w:rFonts w:ascii="Sylfaen" w:hAnsi="Sylfaen"/>
          <w:lang w:val="en-US"/>
        </w:rPr>
      </w:pPr>
      <w:r w:rsidRPr="00916805">
        <w:rPr>
          <w:rFonts w:ascii="Sylfaen" w:hAnsi="Sylfaen"/>
          <w:lang w:val="en-US"/>
        </w:rPr>
        <w:t xml:space="preserve">For more details regarding master thesis see YSMU Master's thesis defense procedure at </w:t>
      </w:r>
      <w:hyperlink r:id="rId14" w:history="1">
        <w:r w:rsidRPr="00916805">
          <w:rPr>
            <w:rStyle w:val="Hyperlink"/>
            <w:rFonts w:ascii="Sylfaen" w:hAnsi="Sylfaen"/>
            <w:lang w:val="en-US"/>
          </w:rPr>
          <w:t>https://ysmu.am/right/bardzraguyn-krtutyan-kanonakarger/</w:t>
        </w:r>
      </w:hyperlink>
      <w:r w:rsidRPr="00916805">
        <w:rPr>
          <w:rFonts w:ascii="Sylfaen" w:hAnsi="Sylfaen"/>
          <w:lang w:val="en-US"/>
        </w:rPr>
        <w:t xml:space="preserve">  </w:t>
      </w:r>
    </w:p>
    <w:p w14:paraId="5600965E" w14:textId="77777777" w:rsidR="009D5B05" w:rsidRPr="00916805" w:rsidRDefault="009D5B05" w:rsidP="009D5B05">
      <w:pPr>
        <w:spacing w:after="0"/>
        <w:jc w:val="both"/>
        <w:rPr>
          <w:rFonts w:ascii="Sylfaen" w:hAnsi="Sylfaen"/>
          <w:lang w:val="en-US"/>
        </w:rPr>
      </w:pPr>
      <w:r w:rsidRPr="00916805">
        <w:rPr>
          <w:rFonts w:ascii="Sylfaen" w:hAnsi="Sylfaen"/>
          <w:lang w:val="en-US"/>
        </w:rPr>
        <w:t xml:space="preserve">Throughout much of these processes, courses are ongoing and require consistent attendance and substantial effort to complete. </w:t>
      </w:r>
    </w:p>
    <w:p w14:paraId="7A97C357" w14:textId="6F957268" w:rsidR="009D5B05" w:rsidRDefault="009D5B05">
      <w:pPr>
        <w:rPr>
          <w:rFonts w:ascii="Sylfaen" w:eastAsia="Times New Roman" w:hAnsi="Sylfaen" w:cstheme="majorBidi"/>
          <w:b/>
          <w:i/>
          <w:iCs/>
          <w:caps/>
          <w:color w:val="4F81BD" w:themeColor="accent1"/>
          <w:sz w:val="28"/>
          <w:szCs w:val="32"/>
          <w:u w:val="single"/>
          <w:lang w:val="en-US"/>
        </w:rPr>
      </w:pPr>
      <w:r>
        <w:rPr>
          <w:rFonts w:eastAsia="Times New Roman"/>
          <w:iCs/>
          <w:caps/>
          <w:lang w:val="en-US"/>
        </w:rPr>
        <w:br w:type="page"/>
      </w:r>
    </w:p>
    <w:p w14:paraId="37AACE37" w14:textId="3BE27B0F" w:rsidR="00C065FB" w:rsidRPr="00B605DC" w:rsidRDefault="00C065FB" w:rsidP="00FF1C13">
      <w:pPr>
        <w:pStyle w:val="Heading1"/>
        <w:jc w:val="center"/>
        <w:rPr>
          <w:rFonts w:eastAsia="Times New Roman"/>
          <w:lang w:val="en-US"/>
        </w:rPr>
      </w:pPr>
      <w:r w:rsidRPr="00B605DC">
        <w:rPr>
          <w:rFonts w:eastAsia="Times New Roman"/>
          <w:lang w:val="en-US"/>
        </w:rPr>
        <w:lastRenderedPageBreak/>
        <w:t>ROLES AND RESPONSIBILITIES OF MPH STUDENTS</w:t>
      </w:r>
      <w:bookmarkEnd w:id="31"/>
    </w:p>
    <w:p w14:paraId="56A03418" w14:textId="1CB5DA2C" w:rsidR="00C065FB" w:rsidRPr="00916805" w:rsidRDefault="00C065FB" w:rsidP="006C53C1">
      <w:pPr>
        <w:pStyle w:val="Default"/>
        <w:jc w:val="center"/>
        <w:rPr>
          <w:rFonts w:ascii="Sylfaen" w:hAnsi="Sylfaen"/>
          <w:b/>
          <w:bCs/>
          <w:i/>
          <w:iCs/>
          <w:color w:val="4F81BD" w:themeColor="accent1"/>
          <w:sz w:val="22"/>
          <w:szCs w:val="22"/>
          <w:u w:val="single"/>
        </w:rPr>
      </w:pPr>
      <w:r w:rsidRPr="00916805">
        <w:rPr>
          <w:rFonts w:ascii="Sylfaen" w:eastAsia="Calibri" w:hAnsi="Sylfaen"/>
          <w:b/>
          <w:bCs/>
          <w:i/>
          <w:iCs/>
          <w:noProof/>
          <w:color w:val="4472C4"/>
          <w:kern w:val="2"/>
          <w:sz w:val="22"/>
          <w:szCs w:val="22"/>
          <w:lang w:eastAsia="en-US"/>
        </w:rPr>
        <w:drawing>
          <wp:inline distT="0" distB="0" distL="0" distR="0" wp14:anchorId="077F8BC6" wp14:editId="4321F0D7">
            <wp:extent cx="5693395" cy="138271"/>
            <wp:effectExtent l="0" t="0" r="0" b="0"/>
            <wp:docPr id="149471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9069" cy="153952"/>
                    </a:xfrm>
                    <a:prstGeom prst="rect">
                      <a:avLst/>
                    </a:prstGeom>
                    <a:noFill/>
                  </pic:spPr>
                </pic:pic>
              </a:graphicData>
            </a:graphic>
          </wp:inline>
        </w:drawing>
      </w:r>
    </w:p>
    <w:p w14:paraId="768DC51E" w14:textId="77777777" w:rsidR="00C065FB" w:rsidRPr="00916805" w:rsidRDefault="00C065FB" w:rsidP="006C53C1">
      <w:pPr>
        <w:pStyle w:val="Default"/>
        <w:jc w:val="center"/>
        <w:rPr>
          <w:rFonts w:ascii="Sylfaen" w:hAnsi="Sylfaen"/>
          <w:b/>
          <w:bCs/>
          <w:i/>
          <w:iCs/>
          <w:color w:val="4F81BD" w:themeColor="accent1"/>
          <w:sz w:val="22"/>
          <w:szCs w:val="22"/>
          <w:u w:val="single"/>
        </w:rPr>
      </w:pPr>
    </w:p>
    <w:p w14:paraId="62C91847" w14:textId="77777777" w:rsidR="002133F8" w:rsidRPr="002133F8" w:rsidRDefault="002133F8" w:rsidP="002133F8">
      <w:pPr>
        <w:pStyle w:val="Default"/>
        <w:spacing w:line="276" w:lineRule="auto"/>
        <w:jc w:val="both"/>
        <w:rPr>
          <w:rFonts w:ascii="Sylfaen" w:hAnsi="Sylfaen"/>
          <w:sz w:val="22"/>
          <w:szCs w:val="22"/>
        </w:rPr>
      </w:pPr>
      <w:r w:rsidRPr="002133F8">
        <w:rPr>
          <w:rFonts w:ascii="Sylfaen" w:hAnsi="Sylfaen"/>
          <w:sz w:val="22"/>
          <w:szCs w:val="22"/>
        </w:rPr>
        <w:t>In addition to the general expectations of all Yerevan State Medical University (YSMU) students, each student enrolled in the Master of Public Health (MPH) Program in Healthcare Management and Planning is expected to uphold the following responsibilities:</w:t>
      </w:r>
    </w:p>
    <w:p w14:paraId="5F3609BE"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Students share the collective responsibility to uphold the law, respect the rights of others, and maintain the integrity of the University community. This includes demonstrating honorable conduct, encouraging peers to meet high standards, and taking appropriate action to protect the interests of the University and its members.</w:t>
      </w:r>
    </w:p>
    <w:p w14:paraId="7D821080"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Students are expected to read, understand, and comply with all University policies, regulations, and official documents. They must also ensure familiarity with the academic policies and procedures specific to the MPH curriculum, including graduation requirements, registration and advising processes, and grading policies.</w:t>
      </w:r>
    </w:p>
    <w:p w14:paraId="3A5976A4"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Maintaining academic integrity and contributing to a safe and conducive learning environment is a core responsibility. Students are required to attend all classes unless formally excused, arrive on time, submit assignments by deadlines, and participate actively in classroom discussions and activities. In cases of emergencies or unusual circumstances preventing attendance or timely submission, students must promptly communicate with the Dean’s Office of the Faculty of Public Health.</w:t>
      </w:r>
    </w:p>
    <w:p w14:paraId="6E197B34"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High standards of academic ethics are expected in all individual work, including homework, examinations, and written assignments. Collaboration is permitted only when explicitly assigned, and all sources must be properly cited. Cheating, plagiarism, or unauthorized copying is strictly prohibited and may result in disciplinary action, up to and including dismissal from the program.</w:t>
      </w:r>
    </w:p>
    <w:p w14:paraId="0EB8FAA9"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Students are encouraged to engage constructively with faculty and administration to resolve academic or administrative issues. They should proactively identify and develop professional career goals, incorporating relevant subject matter into projects and study areas where appropriate. Students are also expected to anticipate and discuss major academic or non-academic issues, respond to advisement notices, and adhere to guidance provided by program administrators.</w:t>
      </w:r>
    </w:p>
    <w:p w14:paraId="40C52ACC" w14:textId="77777777" w:rsidR="002133F8" w:rsidRPr="002133F8" w:rsidRDefault="002133F8" w:rsidP="002133F8">
      <w:pPr>
        <w:pStyle w:val="Default"/>
        <w:numPr>
          <w:ilvl w:val="0"/>
          <w:numId w:val="30"/>
        </w:numPr>
        <w:spacing w:line="276" w:lineRule="auto"/>
        <w:jc w:val="both"/>
        <w:rPr>
          <w:rFonts w:ascii="Sylfaen" w:hAnsi="Sylfaen"/>
          <w:sz w:val="22"/>
          <w:szCs w:val="22"/>
        </w:rPr>
      </w:pPr>
      <w:r w:rsidRPr="002133F8">
        <w:rPr>
          <w:rFonts w:ascii="Sylfaen" w:hAnsi="Sylfaen"/>
          <w:sz w:val="22"/>
          <w:szCs w:val="22"/>
        </w:rPr>
        <w:t>Finally, students must comply with administrative requirements related to tuition, fees, scholarships, registration deadlines, and submission of required forms, ensuring awareness of policies that affect financial and academic eligibility.</w:t>
      </w:r>
    </w:p>
    <w:p w14:paraId="1A0DCDE6" w14:textId="2EB71D49" w:rsidR="006C53C1" w:rsidRPr="00916805" w:rsidRDefault="002133F8" w:rsidP="002133F8">
      <w:pPr>
        <w:pStyle w:val="Default"/>
        <w:spacing w:line="276" w:lineRule="auto"/>
        <w:jc w:val="both"/>
        <w:rPr>
          <w:rFonts w:ascii="Sylfaen" w:hAnsi="Sylfaen"/>
          <w:color w:val="auto"/>
          <w:sz w:val="22"/>
          <w:szCs w:val="22"/>
        </w:rPr>
      </w:pPr>
      <w:r w:rsidRPr="002133F8">
        <w:rPr>
          <w:rFonts w:ascii="Sylfaen" w:hAnsi="Sylfaen"/>
          <w:sz w:val="22"/>
          <w:szCs w:val="22"/>
        </w:rPr>
        <w:t>By meeting these responsibilities, students contribute to a positive, ethical, and productive learning environment, ensuring the successful pursuit of their MPH education and professional development.</w:t>
      </w:r>
    </w:p>
    <w:p w14:paraId="615C4FB1" w14:textId="2161627F" w:rsidR="00E07FC8" w:rsidRPr="00916805" w:rsidRDefault="006C53C1" w:rsidP="002133F8">
      <w:pPr>
        <w:spacing w:after="0"/>
        <w:jc w:val="both"/>
        <w:rPr>
          <w:rFonts w:ascii="Sylfaen" w:hAnsi="Sylfaen"/>
          <w:lang w:val="en-US"/>
        </w:rPr>
      </w:pPr>
      <w:r w:rsidRPr="00916805">
        <w:rPr>
          <w:rFonts w:ascii="Sylfaen" w:hAnsi="Sylfaen" w:cs="Times New Roman"/>
          <w:lang w:val="en-US"/>
        </w:rPr>
        <w:t xml:space="preserve">For more information see the </w:t>
      </w:r>
      <w:bookmarkStart w:id="32" w:name="_Hlk184722174"/>
      <w:r w:rsidR="00FF75F1" w:rsidRPr="00916805">
        <w:rPr>
          <w:rFonts w:ascii="Sylfaen" w:hAnsi="Sylfaen" w:cs="Times New Roman"/>
          <w:lang w:val="en-US"/>
        </w:rPr>
        <w:t>YSMU</w:t>
      </w:r>
      <w:r w:rsidRPr="00916805">
        <w:rPr>
          <w:rFonts w:ascii="Sylfaen" w:hAnsi="Sylfaen" w:cs="Times New Roman"/>
          <w:lang w:val="en-US"/>
        </w:rPr>
        <w:t xml:space="preserve"> Policies</w:t>
      </w:r>
      <w:r w:rsidR="00FF75F1" w:rsidRPr="00916805">
        <w:rPr>
          <w:rFonts w:ascii="Sylfaen" w:hAnsi="Sylfaen" w:cs="Times New Roman"/>
          <w:lang w:val="en-US"/>
        </w:rPr>
        <w:t xml:space="preserve"> </w:t>
      </w:r>
      <w:r w:rsidR="00E07FC8" w:rsidRPr="00916805">
        <w:rPr>
          <w:rFonts w:ascii="Sylfaen" w:hAnsi="Sylfaen" w:cs="Times New Roman"/>
          <w:lang w:val="en-US"/>
        </w:rPr>
        <w:t xml:space="preserve">and Regulations </w:t>
      </w:r>
      <w:bookmarkEnd w:id="32"/>
      <w:r w:rsidR="00FF75F1" w:rsidRPr="00916805">
        <w:rPr>
          <w:rFonts w:ascii="Sylfaen" w:hAnsi="Sylfaen" w:cs="Times New Roman"/>
          <w:lang w:val="en-US"/>
        </w:rPr>
        <w:t>at</w:t>
      </w:r>
      <w:r w:rsidR="00E07FC8" w:rsidRPr="00916805">
        <w:rPr>
          <w:rFonts w:ascii="Sylfaen" w:hAnsi="Sylfaen" w:cs="Times New Roman"/>
          <w:lang w:val="en-US"/>
        </w:rPr>
        <w:t xml:space="preserve"> </w:t>
      </w:r>
      <w:hyperlink r:id="rId15" w:history="1">
        <w:r w:rsidR="00095449" w:rsidRPr="00916805">
          <w:rPr>
            <w:rStyle w:val="Hyperlink"/>
            <w:rFonts w:ascii="Sylfaen" w:hAnsi="Sylfaen" w:cs="Times New Roman"/>
            <w:lang w:val="en-US"/>
          </w:rPr>
          <w:t>https://ysmu.am/en/right/higher-education-regulations/</w:t>
        </w:r>
      </w:hyperlink>
      <w:r w:rsidR="00095449" w:rsidRPr="00916805">
        <w:rPr>
          <w:rFonts w:ascii="Sylfaen" w:hAnsi="Sylfaen" w:cs="Times New Roman"/>
          <w:lang w:val="en-US"/>
        </w:rPr>
        <w:t xml:space="preserve"> </w:t>
      </w:r>
      <w:r w:rsidR="000E0C50" w:rsidRPr="00916805">
        <w:rPr>
          <w:rFonts w:ascii="Sylfaen" w:hAnsi="Sylfaen"/>
          <w:lang w:val="en-US"/>
        </w:rPr>
        <w:t>.</w:t>
      </w:r>
    </w:p>
    <w:p w14:paraId="752C54F1" w14:textId="0AF53B67" w:rsidR="00E07FC8" w:rsidRPr="00B605DC" w:rsidRDefault="00E07FC8" w:rsidP="00FF1C13">
      <w:pPr>
        <w:pStyle w:val="Heading1"/>
        <w:jc w:val="center"/>
        <w:rPr>
          <w:lang w:val="en-US"/>
        </w:rPr>
      </w:pPr>
      <w:r w:rsidRPr="00916805">
        <w:rPr>
          <w:lang w:val="en-US"/>
        </w:rPr>
        <w:br w:type="page"/>
      </w:r>
      <w:bookmarkStart w:id="33" w:name="_GRADING_IN_THE"/>
      <w:bookmarkStart w:id="34" w:name="_Toc207988636"/>
      <w:bookmarkEnd w:id="33"/>
      <w:r w:rsidR="00B81117" w:rsidRPr="00B605DC">
        <w:rPr>
          <w:rFonts w:eastAsia="Times New Roman"/>
          <w:lang w:val="en-US"/>
        </w:rPr>
        <w:lastRenderedPageBreak/>
        <w:t xml:space="preserve">GRADING </w:t>
      </w:r>
      <w:r w:rsidR="00237403" w:rsidRPr="00B605DC">
        <w:rPr>
          <w:rFonts w:eastAsia="Times New Roman"/>
          <w:lang w:val="en-US"/>
        </w:rPr>
        <w:t xml:space="preserve">WITHIN </w:t>
      </w:r>
      <w:r w:rsidR="00B81117" w:rsidRPr="00B605DC">
        <w:rPr>
          <w:rFonts w:eastAsia="Times New Roman"/>
          <w:lang w:val="en-US"/>
        </w:rPr>
        <w:t>THE MPH PROGRAM</w:t>
      </w:r>
      <w:bookmarkEnd w:id="34"/>
    </w:p>
    <w:p w14:paraId="6C9FB472" w14:textId="77777777" w:rsidR="00625342" w:rsidRDefault="00C065FB" w:rsidP="00625342">
      <w:pPr>
        <w:pStyle w:val="Default"/>
        <w:jc w:val="center"/>
        <w:rPr>
          <w:rFonts w:cstheme="minorBidi"/>
          <w:color w:val="auto"/>
          <w:sz w:val="22"/>
          <w:szCs w:val="22"/>
        </w:rPr>
      </w:pPr>
      <w:r w:rsidRPr="00916805">
        <w:rPr>
          <w:rFonts w:ascii="Sylfaen" w:eastAsia="Calibri" w:hAnsi="Sylfaen"/>
          <w:b/>
          <w:bCs/>
          <w:i/>
          <w:iCs/>
          <w:noProof/>
          <w:color w:val="4472C4"/>
          <w:kern w:val="2"/>
          <w:sz w:val="22"/>
          <w:szCs w:val="22"/>
          <w:lang w:eastAsia="en-US"/>
        </w:rPr>
        <w:drawing>
          <wp:inline distT="0" distB="0" distL="0" distR="0" wp14:anchorId="06554F4E" wp14:editId="11D02234">
            <wp:extent cx="5693395" cy="138271"/>
            <wp:effectExtent l="0" t="0" r="0" b="0"/>
            <wp:docPr id="96752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9069" cy="153952"/>
                    </a:xfrm>
                    <a:prstGeom prst="rect">
                      <a:avLst/>
                    </a:prstGeom>
                    <a:noFill/>
                  </pic:spPr>
                </pic:pic>
              </a:graphicData>
            </a:graphic>
          </wp:inline>
        </w:drawing>
      </w:r>
      <w:bookmarkStart w:id="35" w:name="_Resolving_Grade_Disputes"/>
      <w:bookmarkEnd w:id="35"/>
    </w:p>
    <w:p w14:paraId="71F141F7" w14:textId="77777777" w:rsidR="00625342" w:rsidRDefault="00625342" w:rsidP="00625342">
      <w:pPr>
        <w:pStyle w:val="Default"/>
        <w:spacing w:line="276" w:lineRule="auto"/>
        <w:jc w:val="both"/>
        <w:rPr>
          <w:rFonts w:ascii="Sylfaen" w:hAnsi="Sylfaen" w:cstheme="minorBidi"/>
          <w:color w:val="auto"/>
          <w:sz w:val="22"/>
          <w:szCs w:val="22"/>
        </w:rPr>
      </w:pPr>
    </w:p>
    <w:p w14:paraId="5CEB9483" w14:textId="3BC79022" w:rsidR="00625342" w:rsidRDefault="00625342" w:rsidP="00625342">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 xml:space="preserve">The MPH curriculum is multi-disciplinary, taught by both resident and visiting faculty with diverse academic and professional backgrounds. Consequently, instructional methods and evaluation approaches may vary across courses. Students are expected to understand the potential variability in grading practices and assessment interpretation. </w:t>
      </w:r>
    </w:p>
    <w:p w14:paraId="1A57F7BB" w14:textId="77777777" w:rsidR="00625342" w:rsidRDefault="00625342" w:rsidP="00625342">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 xml:space="preserve">Faculty will provide clear evaluation criteria at the start of each course. Assessment methods may include written assignments, problem sets, in-class exercises, presentations, examinations, and other relevant modalities. Participation in class activities may also be graded, reflecting the collaborative nature of public health practice. Faculty will clarify grading expectations, criteria, and typical grade distributions for each assessment. </w:t>
      </w:r>
    </w:p>
    <w:p w14:paraId="656951EC" w14:textId="54AD6065" w:rsidR="00625342" w:rsidRPr="00625342" w:rsidRDefault="00625342" w:rsidP="00625342">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Course performance is evaluated according to the following grade point scale: 9–10 (excellent), 7–8 (satisfactory), 5–6 (minimum passing), and below 5 (unsatisfactory). Some courses are assessed on a “Pass/Fail” basis; although these designations do not carry grade points and are excluded from grade point calculations, successful completion awards course credit.</w:t>
      </w:r>
    </w:p>
    <w:p w14:paraId="74CF9BBE" w14:textId="77777777" w:rsidR="00625342" w:rsidRDefault="00625342" w:rsidP="00625342">
      <w:pPr>
        <w:pStyle w:val="Default"/>
        <w:jc w:val="center"/>
        <w:rPr>
          <w:rFonts w:cstheme="minorBidi"/>
          <w:color w:val="auto"/>
          <w:sz w:val="22"/>
          <w:szCs w:val="22"/>
        </w:rPr>
      </w:pPr>
    </w:p>
    <w:p w14:paraId="2C983524" w14:textId="77777777" w:rsidR="00625342" w:rsidRPr="00DD05D7" w:rsidRDefault="00625342" w:rsidP="00FF1C13">
      <w:pPr>
        <w:pStyle w:val="Heading2"/>
        <w:jc w:val="left"/>
        <w:rPr>
          <w:rFonts w:eastAsia="Calibri"/>
          <w:lang w:val="en-US" w:eastAsia="en-US"/>
        </w:rPr>
      </w:pPr>
      <w:bookmarkStart w:id="36" w:name="_Toc207988637"/>
      <w:r w:rsidRPr="00DD05D7">
        <w:rPr>
          <w:rFonts w:eastAsia="Calibri"/>
          <w:lang w:val="en-US" w:eastAsia="en-US"/>
        </w:rPr>
        <w:t>Grade Appeals and Review Procedure</w:t>
      </w:r>
      <w:bookmarkEnd w:id="36"/>
    </w:p>
    <w:p w14:paraId="10C18D6A" w14:textId="77777777" w:rsidR="00625342" w:rsidRPr="00625342" w:rsidRDefault="00625342" w:rsidP="00320571">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If a student believes that an assignment or course grade has been awarded unfairly, the concern should first be addressed directly with the course instructor. Students may petition for a grade review by following the official procedure within one hour of the formal publication of grades. The student has the right to request clarifications regarding the evaluation and grade calculation from the course instructor.</w:t>
      </w:r>
    </w:p>
    <w:p w14:paraId="28451EC4" w14:textId="77777777" w:rsidR="009D5B05" w:rsidRDefault="00625342" w:rsidP="009D5B05">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Should the student genuinely perceive that a grade reflects biased or incorrect assessment, a formal grievance may be submitted to the Dean of the Faculty. This process is intended solely to rectify grading errors or bias and must not be used to seek a higher grade for reasons unrelated to the fairness or accuracy of the assessment.</w:t>
      </w:r>
    </w:p>
    <w:p w14:paraId="516C9E5F" w14:textId="7EBA0E2E" w:rsidR="001A3C5B" w:rsidRPr="009D5B05" w:rsidRDefault="00625342" w:rsidP="009D5B05">
      <w:pPr>
        <w:pStyle w:val="Default"/>
        <w:spacing w:line="276" w:lineRule="auto"/>
        <w:jc w:val="both"/>
        <w:rPr>
          <w:rFonts w:ascii="Sylfaen" w:hAnsi="Sylfaen" w:cstheme="minorBidi"/>
          <w:color w:val="auto"/>
          <w:sz w:val="22"/>
          <w:szCs w:val="22"/>
        </w:rPr>
      </w:pPr>
      <w:r w:rsidRPr="00625342">
        <w:rPr>
          <w:rFonts w:ascii="Sylfaen" w:hAnsi="Sylfaen" w:cstheme="minorBidi"/>
          <w:color w:val="auto"/>
          <w:sz w:val="22"/>
          <w:szCs w:val="22"/>
        </w:rPr>
        <w:t>For further information, students are referred to the Yerevan State Medical University Policies and Regulations</w:t>
      </w:r>
      <w:r>
        <w:rPr>
          <w:rFonts w:ascii="Sylfaen" w:hAnsi="Sylfaen"/>
        </w:rPr>
        <w:t xml:space="preserve">: </w:t>
      </w:r>
      <w:hyperlink r:id="rId16" w:history="1">
        <w:r w:rsidR="00095449" w:rsidRPr="00916805">
          <w:rPr>
            <w:rStyle w:val="Hyperlink"/>
            <w:rFonts w:ascii="Sylfaen" w:hAnsi="Sylfaen"/>
          </w:rPr>
          <w:t>https://ysmu.am/en/right/higher-education-regulations/</w:t>
        </w:r>
      </w:hyperlink>
      <w:r w:rsidR="00095449" w:rsidRPr="00916805">
        <w:rPr>
          <w:rFonts w:ascii="Sylfaen" w:hAnsi="Sylfaen"/>
        </w:rPr>
        <w:t xml:space="preserve"> </w:t>
      </w:r>
      <w:r w:rsidR="0027340F" w:rsidRPr="00916805">
        <w:rPr>
          <w:rFonts w:ascii="Sylfaen" w:hAnsi="Sylfaen"/>
        </w:rPr>
        <w:t xml:space="preserve">.   </w:t>
      </w:r>
    </w:p>
    <w:sectPr w:rsidR="001A3C5B" w:rsidRPr="009D5B05" w:rsidSect="00E8328E">
      <w:headerReference w:type="default" r:id="rId17"/>
      <w:footerReference w:type="default" r:id="rId18"/>
      <w:pgSz w:w="11906" w:h="16838"/>
      <w:pgMar w:top="1008" w:right="720" w:bottom="1008"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2410" w14:textId="77777777" w:rsidR="00F408BE" w:rsidRDefault="00F408BE" w:rsidP="002A6318">
      <w:pPr>
        <w:spacing w:after="0" w:line="240" w:lineRule="auto"/>
      </w:pPr>
      <w:r>
        <w:separator/>
      </w:r>
    </w:p>
  </w:endnote>
  <w:endnote w:type="continuationSeparator" w:id="0">
    <w:p w14:paraId="51715FBA" w14:textId="77777777" w:rsidR="00F408BE" w:rsidRDefault="00F408BE" w:rsidP="002A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3183"/>
      <w:docPartObj>
        <w:docPartGallery w:val="Page Numbers (Bottom of Page)"/>
        <w:docPartUnique/>
      </w:docPartObj>
    </w:sdtPr>
    <w:sdtEndPr>
      <w:rPr>
        <w:noProof/>
      </w:rPr>
    </w:sdtEndPr>
    <w:sdtContent>
      <w:p w14:paraId="1A6A2F94" w14:textId="117F37DE" w:rsidR="002C2501" w:rsidRDefault="002C25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2B077" w14:textId="77777777" w:rsidR="002C2501" w:rsidRDefault="002C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50C8" w14:textId="77777777" w:rsidR="00F408BE" w:rsidRDefault="00F408BE" w:rsidP="002A6318">
      <w:pPr>
        <w:spacing w:after="0" w:line="240" w:lineRule="auto"/>
      </w:pPr>
      <w:r>
        <w:separator/>
      </w:r>
    </w:p>
  </w:footnote>
  <w:footnote w:type="continuationSeparator" w:id="0">
    <w:p w14:paraId="7C8CC2F4" w14:textId="77777777" w:rsidR="00F408BE" w:rsidRDefault="00F408BE" w:rsidP="002A6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B385" w14:textId="77777777" w:rsidR="009E58AA" w:rsidRDefault="002A6318">
    <w:pPr>
      <w:pStyle w:val="Header"/>
      <w:rPr>
        <w:i/>
        <w:iCs/>
        <w:sz w:val="20"/>
        <w:szCs w:val="20"/>
        <w:lang w:val="en-US"/>
      </w:rPr>
    </w:pPr>
    <w:r w:rsidRPr="002A6318">
      <w:rPr>
        <w:i/>
        <w:iCs/>
        <w:sz w:val="20"/>
        <w:szCs w:val="20"/>
        <w:lang w:val="en-US"/>
      </w:rPr>
      <w:t xml:space="preserve">MPH in Healthcare Management and Planning </w:t>
    </w:r>
    <w:r>
      <w:rPr>
        <w:i/>
        <w:iCs/>
        <w:sz w:val="20"/>
        <w:szCs w:val="20"/>
        <w:lang w:val="en-US"/>
      </w:rPr>
      <w:t>Student</w:t>
    </w:r>
    <w:r w:rsidRPr="002A6318">
      <w:rPr>
        <w:i/>
        <w:iCs/>
        <w:sz w:val="20"/>
        <w:szCs w:val="20"/>
        <w:lang w:val="en-US"/>
      </w:rPr>
      <w:t xml:space="preserve"> Manual</w:t>
    </w:r>
    <w:r w:rsidR="003303F1">
      <w:rPr>
        <w:i/>
        <w:iCs/>
        <w:sz w:val="20"/>
        <w:szCs w:val="20"/>
        <w:lang w:val="en-US"/>
      </w:rPr>
      <w:t xml:space="preserve"> 202</w:t>
    </w:r>
    <w:r w:rsidR="009E58AA">
      <w:rPr>
        <w:i/>
        <w:iCs/>
        <w:sz w:val="20"/>
        <w:szCs w:val="20"/>
        <w:lang w:val="en-US"/>
      </w:rPr>
      <w:t>5</w:t>
    </w:r>
    <w:r w:rsidR="003303F1">
      <w:rPr>
        <w:i/>
        <w:iCs/>
        <w:sz w:val="20"/>
        <w:szCs w:val="20"/>
        <w:lang w:val="en-US"/>
      </w:rPr>
      <w:t>-202</w:t>
    </w:r>
    <w:r w:rsidR="009E58AA">
      <w:rPr>
        <w:i/>
        <w:iCs/>
        <w:sz w:val="20"/>
        <w:szCs w:val="20"/>
        <w:lang w:val="en-US"/>
      </w:rPr>
      <w:t>6</w:t>
    </w:r>
  </w:p>
  <w:p w14:paraId="54353801" w14:textId="640FE40D" w:rsidR="002A6318" w:rsidRPr="002A6318" w:rsidRDefault="002A6318">
    <w:pPr>
      <w:pStyle w:val="Header"/>
      <w:rPr>
        <w:lang w:val="en-US"/>
      </w:rPr>
    </w:pPr>
    <w:r>
      <w:rPr>
        <w:i/>
        <w:iCs/>
        <w:sz w:val="20"/>
        <w:szCs w:val="20"/>
        <w:lang w:val="en-US"/>
      </w:rPr>
      <w:tab/>
    </w:r>
    <w:r w:rsidRPr="002A6318">
      <w:rPr>
        <w:i/>
        <w:iCs/>
        <w:sz w:val="20"/>
        <w:szCs w:val="20"/>
      </w:rPr>
      <w:ptab w:relativeTo="margin" w:alignment="center" w:leader="none"/>
    </w:r>
    <w:r w:rsidRPr="002A6318">
      <w:rPr>
        <w:i/>
        <w:iCs/>
        <w:sz w:val="20"/>
        <w:szCs w:val="20"/>
      </w:rPr>
      <w:ptab w:relativeTo="margin" w:alignment="right" w:leader="none"/>
    </w:r>
    <w:r w:rsidRPr="002A6318">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5461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56FF4"/>
    <w:multiLevelType w:val="hybridMultilevel"/>
    <w:tmpl w:val="742C2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1A595D"/>
    <w:multiLevelType w:val="hybridMultilevel"/>
    <w:tmpl w:val="23B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12638"/>
    <w:multiLevelType w:val="hybridMultilevel"/>
    <w:tmpl w:val="F0D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97E97"/>
    <w:multiLevelType w:val="hybridMultilevel"/>
    <w:tmpl w:val="9AA6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5725C"/>
    <w:multiLevelType w:val="hybridMultilevel"/>
    <w:tmpl w:val="0436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96F0C"/>
    <w:multiLevelType w:val="multilevel"/>
    <w:tmpl w:val="FB0C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D1C03"/>
    <w:multiLevelType w:val="multilevel"/>
    <w:tmpl w:val="AFC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77D76"/>
    <w:multiLevelType w:val="hybridMultilevel"/>
    <w:tmpl w:val="CA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E0A8E"/>
    <w:multiLevelType w:val="hybridMultilevel"/>
    <w:tmpl w:val="227E8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6831D2"/>
    <w:multiLevelType w:val="hybridMultilevel"/>
    <w:tmpl w:val="17C43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777B2C"/>
    <w:multiLevelType w:val="hybridMultilevel"/>
    <w:tmpl w:val="1142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95E2E"/>
    <w:multiLevelType w:val="hybridMultilevel"/>
    <w:tmpl w:val="CC10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E761F8"/>
    <w:multiLevelType w:val="hybridMultilevel"/>
    <w:tmpl w:val="769C9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600567"/>
    <w:multiLevelType w:val="hybridMultilevel"/>
    <w:tmpl w:val="0018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B84855"/>
    <w:multiLevelType w:val="hybridMultilevel"/>
    <w:tmpl w:val="38C2C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C1F2D4A"/>
    <w:multiLevelType w:val="hybridMultilevel"/>
    <w:tmpl w:val="3C96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C32E72"/>
    <w:multiLevelType w:val="multilevel"/>
    <w:tmpl w:val="346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74AEA"/>
    <w:multiLevelType w:val="hybridMultilevel"/>
    <w:tmpl w:val="563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3A0034"/>
    <w:multiLevelType w:val="hybridMultilevel"/>
    <w:tmpl w:val="063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7935C7"/>
    <w:multiLevelType w:val="hybridMultilevel"/>
    <w:tmpl w:val="957C2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7ED1F13"/>
    <w:multiLevelType w:val="hybridMultilevel"/>
    <w:tmpl w:val="933CE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064192"/>
    <w:multiLevelType w:val="multilevel"/>
    <w:tmpl w:val="5A7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62498"/>
    <w:multiLevelType w:val="hybridMultilevel"/>
    <w:tmpl w:val="334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31E76"/>
    <w:multiLevelType w:val="hybridMultilevel"/>
    <w:tmpl w:val="A89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1F0937"/>
    <w:multiLevelType w:val="hybridMultilevel"/>
    <w:tmpl w:val="4C10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EC4F01"/>
    <w:multiLevelType w:val="hybridMultilevel"/>
    <w:tmpl w:val="429CB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D4B040F"/>
    <w:multiLevelType w:val="hybridMultilevel"/>
    <w:tmpl w:val="EB9E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E07D93"/>
    <w:multiLevelType w:val="hybridMultilevel"/>
    <w:tmpl w:val="8992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FE54CA9"/>
    <w:multiLevelType w:val="hybridMultilevel"/>
    <w:tmpl w:val="5BAE8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037103F"/>
    <w:multiLevelType w:val="hybridMultilevel"/>
    <w:tmpl w:val="E4AE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627777"/>
    <w:multiLevelType w:val="multilevel"/>
    <w:tmpl w:val="A8D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6E4323"/>
    <w:multiLevelType w:val="hybridMultilevel"/>
    <w:tmpl w:val="C40A6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2252577"/>
    <w:multiLevelType w:val="hybridMultilevel"/>
    <w:tmpl w:val="22BA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8C1165"/>
    <w:multiLevelType w:val="hybridMultilevel"/>
    <w:tmpl w:val="13CA7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4837976"/>
    <w:multiLevelType w:val="hybridMultilevel"/>
    <w:tmpl w:val="C8C4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54C1C04"/>
    <w:multiLevelType w:val="multilevel"/>
    <w:tmpl w:val="EC5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722DAD"/>
    <w:multiLevelType w:val="hybridMultilevel"/>
    <w:tmpl w:val="067C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580F22"/>
    <w:multiLevelType w:val="hybridMultilevel"/>
    <w:tmpl w:val="819E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7B7A4D"/>
    <w:multiLevelType w:val="multilevel"/>
    <w:tmpl w:val="DBE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83224"/>
    <w:multiLevelType w:val="hybridMultilevel"/>
    <w:tmpl w:val="A460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FC1445"/>
    <w:multiLevelType w:val="hybridMultilevel"/>
    <w:tmpl w:val="8CE6E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665C37"/>
    <w:multiLevelType w:val="hybridMultilevel"/>
    <w:tmpl w:val="07F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C7280D"/>
    <w:multiLevelType w:val="hybridMultilevel"/>
    <w:tmpl w:val="43CA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913DFB"/>
    <w:multiLevelType w:val="hybridMultilevel"/>
    <w:tmpl w:val="FE02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4B0BDA"/>
    <w:multiLevelType w:val="multilevel"/>
    <w:tmpl w:val="A63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69092F"/>
    <w:multiLevelType w:val="hybridMultilevel"/>
    <w:tmpl w:val="F7562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68C4572"/>
    <w:multiLevelType w:val="hybridMultilevel"/>
    <w:tmpl w:val="B7B06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6C90059"/>
    <w:multiLevelType w:val="hybridMultilevel"/>
    <w:tmpl w:val="11C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DA0B22"/>
    <w:multiLevelType w:val="hybridMultilevel"/>
    <w:tmpl w:val="7150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F525BC"/>
    <w:multiLevelType w:val="multilevel"/>
    <w:tmpl w:val="89E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B42681"/>
    <w:multiLevelType w:val="hybridMultilevel"/>
    <w:tmpl w:val="E48C5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006302"/>
    <w:multiLevelType w:val="hybridMultilevel"/>
    <w:tmpl w:val="3FA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9F12FA"/>
    <w:multiLevelType w:val="multilevel"/>
    <w:tmpl w:val="32461B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Sylfaen" w:eastAsia="Calibri" w:hAnsi="Sylfae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5B7F87"/>
    <w:multiLevelType w:val="hybridMultilevel"/>
    <w:tmpl w:val="6814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E613D59"/>
    <w:multiLevelType w:val="hybridMultilevel"/>
    <w:tmpl w:val="6FEC3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F4C0E68"/>
    <w:multiLevelType w:val="hybridMultilevel"/>
    <w:tmpl w:val="D0806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F6C4FB1"/>
    <w:multiLevelType w:val="hybridMultilevel"/>
    <w:tmpl w:val="0150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AD162C"/>
    <w:multiLevelType w:val="hybridMultilevel"/>
    <w:tmpl w:val="79A4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756140"/>
    <w:multiLevelType w:val="multilevel"/>
    <w:tmpl w:val="36E4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3430EB"/>
    <w:multiLevelType w:val="hybridMultilevel"/>
    <w:tmpl w:val="AE02F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5952AA0"/>
    <w:multiLevelType w:val="hybridMultilevel"/>
    <w:tmpl w:val="EFC4C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65C05D6"/>
    <w:multiLevelType w:val="hybridMultilevel"/>
    <w:tmpl w:val="19AA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5C0BF8"/>
    <w:multiLevelType w:val="hybridMultilevel"/>
    <w:tmpl w:val="A872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316890"/>
    <w:multiLevelType w:val="hybridMultilevel"/>
    <w:tmpl w:val="54501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F28000E"/>
    <w:multiLevelType w:val="hybridMultilevel"/>
    <w:tmpl w:val="C58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6A5B6F"/>
    <w:multiLevelType w:val="hybridMultilevel"/>
    <w:tmpl w:val="D8DC1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F925B03"/>
    <w:multiLevelType w:val="hybridMultilevel"/>
    <w:tmpl w:val="14A45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00B7C23"/>
    <w:multiLevelType w:val="multilevel"/>
    <w:tmpl w:val="17C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FC1000"/>
    <w:multiLevelType w:val="hybridMultilevel"/>
    <w:tmpl w:val="44840CC8"/>
    <w:lvl w:ilvl="0" w:tplc="5450D4BE">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1BA2296"/>
    <w:multiLevelType w:val="hybridMultilevel"/>
    <w:tmpl w:val="1000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566854"/>
    <w:multiLevelType w:val="hybridMultilevel"/>
    <w:tmpl w:val="3572D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29329C1"/>
    <w:multiLevelType w:val="hybridMultilevel"/>
    <w:tmpl w:val="2B38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984161"/>
    <w:multiLevelType w:val="multilevel"/>
    <w:tmpl w:val="BACE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104399"/>
    <w:multiLevelType w:val="hybridMultilevel"/>
    <w:tmpl w:val="04D0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1F7283"/>
    <w:multiLevelType w:val="hybridMultilevel"/>
    <w:tmpl w:val="DDD0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740B93"/>
    <w:multiLevelType w:val="hybridMultilevel"/>
    <w:tmpl w:val="4EBC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FC5107"/>
    <w:multiLevelType w:val="hybridMultilevel"/>
    <w:tmpl w:val="A59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6748D3"/>
    <w:multiLevelType w:val="hybridMultilevel"/>
    <w:tmpl w:val="205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C01F6E"/>
    <w:multiLevelType w:val="hybridMultilevel"/>
    <w:tmpl w:val="FEBA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136C03"/>
    <w:multiLevelType w:val="hybridMultilevel"/>
    <w:tmpl w:val="F9642F46"/>
    <w:lvl w:ilvl="0" w:tplc="AFBE7B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B800362"/>
    <w:multiLevelType w:val="multilevel"/>
    <w:tmpl w:val="015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C52B59"/>
    <w:multiLevelType w:val="multilevel"/>
    <w:tmpl w:val="4D6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9E3E9A"/>
    <w:multiLevelType w:val="hybridMultilevel"/>
    <w:tmpl w:val="94F4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840E6C"/>
    <w:multiLevelType w:val="hybridMultilevel"/>
    <w:tmpl w:val="ED62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D072D8"/>
    <w:multiLevelType w:val="hybridMultilevel"/>
    <w:tmpl w:val="BB40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197348"/>
    <w:multiLevelType w:val="multilevel"/>
    <w:tmpl w:val="D7F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F47806"/>
    <w:multiLevelType w:val="hybridMultilevel"/>
    <w:tmpl w:val="9AD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12444D"/>
    <w:multiLevelType w:val="hybridMultilevel"/>
    <w:tmpl w:val="00B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AA52D4"/>
    <w:multiLevelType w:val="hybridMultilevel"/>
    <w:tmpl w:val="B8FE6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75E51E1"/>
    <w:multiLevelType w:val="hybridMultilevel"/>
    <w:tmpl w:val="C242FC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682F1EFF"/>
    <w:multiLevelType w:val="hybridMultilevel"/>
    <w:tmpl w:val="97E6B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8781088"/>
    <w:multiLevelType w:val="hybridMultilevel"/>
    <w:tmpl w:val="A4E43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8C87BA3"/>
    <w:multiLevelType w:val="hybridMultilevel"/>
    <w:tmpl w:val="C2E2C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93D19F4"/>
    <w:multiLevelType w:val="hybridMultilevel"/>
    <w:tmpl w:val="91027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9A7013C"/>
    <w:multiLevelType w:val="hybridMultilevel"/>
    <w:tmpl w:val="F098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F11009"/>
    <w:multiLevelType w:val="hybridMultilevel"/>
    <w:tmpl w:val="D54A1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9FB197D"/>
    <w:multiLevelType w:val="hybridMultilevel"/>
    <w:tmpl w:val="2BC4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A675127"/>
    <w:multiLevelType w:val="hybridMultilevel"/>
    <w:tmpl w:val="111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F46AF9"/>
    <w:multiLevelType w:val="hybridMultilevel"/>
    <w:tmpl w:val="212C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212783"/>
    <w:multiLevelType w:val="hybridMultilevel"/>
    <w:tmpl w:val="EF86A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BC122CB"/>
    <w:multiLevelType w:val="hybridMultilevel"/>
    <w:tmpl w:val="16A6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CAD7389"/>
    <w:multiLevelType w:val="hybridMultilevel"/>
    <w:tmpl w:val="4222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D2C112D"/>
    <w:multiLevelType w:val="hybridMultilevel"/>
    <w:tmpl w:val="3FCE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D7F5ED7"/>
    <w:multiLevelType w:val="hybridMultilevel"/>
    <w:tmpl w:val="6DB4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E9E0285"/>
    <w:multiLevelType w:val="hybridMultilevel"/>
    <w:tmpl w:val="9C482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F002F8B"/>
    <w:multiLevelType w:val="hybridMultilevel"/>
    <w:tmpl w:val="2BEC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4E1582"/>
    <w:multiLevelType w:val="hybridMultilevel"/>
    <w:tmpl w:val="C0E6A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2DC3F90"/>
    <w:multiLevelType w:val="multilevel"/>
    <w:tmpl w:val="4C0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CC2622"/>
    <w:multiLevelType w:val="hybridMultilevel"/>
    <w:tmpl w:val="5DCE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356CE5"/>
    <w:multiLevelType w:val="hybridMultilevel"/>
    <w:tmpl w:val="D6F06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5B0325A"/>
    <w:multiLevelType w:val="hybridMultilevel"/>
    <w:tmpl w:val="E6EA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91E3BD2"/>
    <w:multiLevelType w:val="multilevel"/>
    <w:tmpl w:val="68C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8668DD"/>
    <w:multiLevelType w:val="hybridMultilevel"/>
    <w:tmpl w:val="6234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ABD7647"/>
    <w:multiLevelType w:val="hybridMultilevel"/>
    <w:tmpl w:val="874C1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B3E3F72"/>
    <w:multiLevelType w:val="hybridMultilevel"/>
    <w:tmpl w:val="604C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F787C36"/>
    <w:multiLevelType w:val="multilevel"/>
    <w:tmpl w:val="DAA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002513">
    <w:abstractNumId w:val="39"/>
  </w:num>
  <w:num w:numId="2" w16cid:durableId="1974630042">
    <w:abstractNumId w:val="73"/>
  </w:num>
  <w:num w:numId="3" w16cid:durableId="136337241">
    <w:abstractNumId w:val="50"/>
  </w:num>
  <w:num w:numId="4" w16cid:durableId="439683054">
    <w:abstractNumId w:val="6"/>
  </w:num>
  <w:num w:numId="5" w16cid:durableId="1400254131">
    <w:abstractNumId w:val="112"/>
  </w:num>
  <w:num w:numId="6" w16cid:durableId="1964114198">
    <w:abstractNumId w:val="31"/>
  </w:num>
  <w:num w:numId="7" w16cid:durableId="1627540801">
    <w:abstractNumId w:val="17"/>
  </w:num>
  <w:num w:numId="8" w16cid:durableId="1623489084">
    <w:abstractNumId w:val="68"/>
  </w:num>
  <w:num w:numId="9" w16cid:durableId="1445348070">
    <w:abstractNumId w:val="59"/>
  </w:num>
  <w:num w:numId="10" w16cid:durableId="1850674730">
    <w:abstractNumId w:val="86"/>
  </w:num>
  <w:num w:numId="11" w16cid:durableId="238373743">
    <w:abstractNumId w:val="45"/>
  </w:num>
  <w:num w:numId="12" w16cid:durableId="1825196788">
    <w:abstractNumId w:val="67"/>
  </w:num>
  <w:num w:numId="13" w16cid:durableId="627859860">
    <w:abstractNumId w:val="80"/>
  </w:num>
  <w:num w:numId="14" w16cid:durableId="1698194838">
    <w:abstractNumId w:val="82"/>
  </w:num>
  <w:num w:numId="15" w16cid:durableId="1610815014">
    <w:abstractNumId w:val="51"/>
  </w:num>
  <w:num w:numId="16" w16cid:durableId="1763182222">
    <w:abstractNumId w:val="23"/>
  </w:num>
  <w:num w:numId="17" w16cid:durableId="854998450">
    <w:abstractNumId w:val="38"/>
  </w:num>
  <w:num w:numId="18" w16cid:durableId="399986240">
    <w:abstractNumId w:val="48"/>
  </w:num>
  <w:num w:numId="19" w16cid:durableId="1241670664">
    <w:abstractNumId w:val="84"/>
  </w:num>
  <w:num w:numId="20" w16cid:durableId="1981422803">
    <w:abstractNumId w:val="8"/>
  </w:num>
  <w:num w:numId="21" w16cid:durableId="715617529">
    <w:abstractNumId w:val="70"/>
  </w:num>
  <w:num w:numId="22" w16cid:durableId="1477988630">
    <w:abstractNumId w:val="3"/>
  </w:num>
  <w:num w:numId="23" w16cid:durableId="1853689715">
    <w:abstractNumId w:val="81"/>
  </w:num>
  <w:num w:numId="24" w16cid:durableId="1246188949">
    <w:abstractNumId w:val="108"/>
  </w:num>
  <w:num w:numId="25" w16cid:durableId="798302797">
    <w:abstractNumId w:val="7"/>
  </w:num>
  <w:num w:numId="26" w16cid:durableId="339165272">
    <w:abstractNumId w:val="36"/>
  </w:num>
  <w:num w:numId="27" w16cid:durableId="889459078">
    <w:abstractNumId w:val="53"/>
  </w:num>
  <w:num w:numId="28" w16cid:durableId="795610626">
    <w:abstractNumId w:val="116"/>
  </w:num>
  <w:num w:numId="29" w16cid:durableId="2023704600">
    <w:abstractNumId w:val="22"/>
  </w:num>
  <w:num w:numId="30" w16cid:durableId="1194853104">
    <w:abstractNumId w:val="85"/>
  </w:num>
  <w:num w:numId="31" w16cid:durableId="73669912">
    <w:abstractNumId w:val="0"/>
  </w:num>
  <w:num w:numId="32" w16cid:durableId="652366698">
    <w:abstractNumId w:val="65"/>
  </w:num>
  <w:num w:numId="33" w16cid:durableId="47993031">
    <w:abstractNumId w:val="0"/>
  </w:num>
  <w:num w:numId="34" w16cid:durableId="966156015">
    <w:abstractNumId w:val="42"/>
  </w:num>
  <w:num w:numId="35" w16cid:durableId="653610121">
    <w:abstractNumId w:val="77"/>
  </w:num>
  <w:num w:numId="36" w16cid:durableId="1506939960">
    <w:abstractNumId w:val="71"/>
  </w:num>
  <w:num w:numId="37" w16cid:durableId="1539200842">
    <w:abstractNumId w:val="114"/>
  </w:num>
  <w:num w:numId="38" w16cid:durableId="1702632764">
    <w:abstractNumId w:val="41"/>
  </w:num>
  <w:num w:numId="39" w16cid:durableId="125662491">
    <w:abstractNumId w:val="92"/>
  </w:num>
  <w:num w:numId="40" w16cid:durableId="1486585097">
    <w:abstractNumId w:val="10"/>
  </w:num>
  <w:num w:numId="41" w16cid:durableId="839849834">
    <w:abstractNumId w:val="98"/>
  </w:num>
  <w:num w:numId="42" w16cid:durableId="464392637">
    <w:abstractNumId w:val="54"/>
  </w:num>
  <w:num w:numId="43" w16cid:durableId="186867894">
    <w:abstractNumId w:val="100"/>
  </w:num>
  <w:num w:numId="44" w16cid:durableId="928974587">
    <w:abstractNumId w:val="96"/>
  </w:num>
  <w:num w:numId="45" w16cid:durableId="1029910536">
    <w:abstractNumId w:val="66"/>
  </w:num>
  <w:num w:numId="46" w16cid:durableId="644508866">
    <w:abstractNumId w:val="15"/>
  </w:num>
  <w:num w:numId="47" w16cid:durableId="371882168">
    <w:abstractNumId w:val="13"/>
  </w:num>
  <w:num w:numId="48" w16cid:durableId="48457077">
    <w:abstractNumId w:val="11"/>
  </w:num>
  <w:num w:numId="49" w16cid:durableId="486630829">
    <w:abstractNumId w:val="106"/>
  </w:num>
  <w:num w:numId="50" w16cid:durableId="874780147">
    <w:abstractNumId w:val="58"/>
  </w:num>
  <w:num w:numId="51" w16cid:durableId="1144008770">
    <w:abstractNumId w:val="18"/>
  </w:num>
  <w:num w:numId="52" w16cid:durableId="1183126882">
    <w:abstractNumId w:val="2"/>
  </w:num>
  <w:num w:numId="53" w16cid:durableId="2037345416">
    <w:abstractNumId w:val="99"/>
  </w:num>
  <w:num w:numId="54" w16cid:durableId="409618168">
    <w:abstractNumId w:val="76"/>
  </w:num>
  <w:num w:numId="55" w16cid:durableId="2058965764">
    <w:abstractNumId w:val="24"/>
  </w:num>
  <w:num w:numId="56" w16cid:durableId="316612151">
    <w:abstractNumId w:val="74"/>
  </w:num>
  <w:num w:numId="57" w16cid:durableId="2041122671">
    <w:abstractNumId w:val="49"/>
  </w:num>
  <w:num w:numId="58" w16cid:durableId="2127769248">
    <w:abstractNumId w:val="103"/>
  </w:num>
  <w:num w:numId="59" w16cid:durableId="1882478652">
    <w:abstractNumId w:val="62"/>
  </w:num>
  <w:num w:numId="60" w16cid:durableId="1179394088">
    <w:abstractNumId w:val="88"/>
  </w:num>
  <w:num w:numId="61" w16cid:durableId="190919323">
    <w:abstractNumId w:val="40"/>
  </w:num>
  <w:num w:numId="62" w16cid:durableId="157962423">
    <w:abstractNumId w:val="63"/>
  </w:num>
  <w:num w:numId="63" w16cid:durableId="32393044">
    <w:abstractNumId w:val="19"/>
  </w:num>
  <w:num w:numId="64" w16cid:durableId="245725589">
    <w:abstractNumId w:val="25"/>
  </w:num>
  <w:num w:numId="65" w16cid:durableId="1398940942">
    <w:abstractNumId w:val="47"/>
  </w:num>
  <w:num w:numId="66" w16cid:durableId="1381056193">
    <w:abstractNumId w:val="33"/>
  </w:num>
  <w:num w:numId="67" w16cid:durableId="39207992">
    <w:abstractNumId w:val="91"/>
  </w:num>
  <w:num w:numId="68" w16cid:durableId="1633514716">
    <w:abstractNumId w:val="83"/>
  </w:num>
  <w:num w:numId="69" w16cid:durableId="581183504">
    <w:abstractNumId w:val="34"/>
  </w:num>
  <w:num w:numId="70" w16cid:durableId="1511137566">
    <w:abstractNumId w:val="43"/>
  </w:num>
  <w:num w:numId="71" w16cid:durableId="1707288514">
    <w:abstractNumId w:val="1"/>
  </w:num>
  <w:num w:numId="72" w16cid:durableId="285237931">
    <w:abstractNumId w:val="109"/>
  </w:num>
  <w:num w:numId="73" w16cid:durableId="956838552">
    <w:abstractNumId w:val="26"/>
  </w:num>
  <w:num w:numId="74" w16cid:durableId="734737404">
    <w:abstractNumId w:val="113"/>
  </w:num>
  <w:num w:numId="75" w16cid:durableId="1574119964">
    <w:abstractNumId w:val="35"/>
  </w:num>
  <w:num w:numId="76" w16cid:durableId="75369589">
    <w:abstractNumId w:val="12"/>
  </w:num>
  <w:num w:numId="77" w16cid:durableId="1346320348">
    <w:abstractNumId w:val="29"/>
  </w:num>
  <w:num w:numId="78" w16cid:durableId="739402529">
    <w:abstractNumId w:val="61"/>
  </w:num>
  <w:num w:numId="79" w16cid:durableId="1823426398">
    <w:abstractNumId w:val="46"/>
  </w:num>
  <w:num w:numId="80" w16cid:durableId="2033917406">
    <w:abstractNumId w:val="4"/>
  </w:num>
  <w:num w:numId="81" w16cid:durableId="1872303943">
    <w:abstractNumId w:val="55"/>
  </w:num>
  <w:num w:numId="82" w16cid:durableId="1387725992">
    <w:abstractNumId w:val="75"/>
  </w:num>
  <w:num w:numId="83" w16cid:durableId="325666917">
    <w:abstractNumId w:val="32"/>
  </w:num>
  <w:num w:numId="84" w16cid:durableId="1043948117">
    <w:abstractNumId w:val="27"/>
  </w:num>
  <w:num w:numId="85" w16cid:durableId="1713580850">
    <w:abstractNumId w:val="94"/>
  </w:num>
  <w:num w:numId="86" w16cid:durableId="1132212734">
    <w:abstractNumId w:val="16"/>
  </w:num>
  <w:num w:numId="87" w16cid:durableId="2011368670">
    <w:abstractNumId w:val="64"/>
  </w:num>
  <w:num w:numId="88" w16cid:durableId="1201816831">
    <w:abstractNumId w:val="30"/>
  </w:num>
  <w:num w:numId="89" w16cid:durableId="1452089635">
    <w:abstractNumId w:val="97"/>
  </w:num>
  <w:num w:numId="90" w16cid:durableId="890771696">
    <w:abstractNumId w:val="111"/>
  </w:num>
  <w:num w:numId="91" w16cid:durableId="1245870892">
    <w:abstractNumId w:val="28"/>
  </w:num>
  <w:num w:numId="92" w16cid:durableId="531193730">
    <w:abstractNumId w:val="72"/>
  </w:num>
  <w:num w:numId="93" w16cid:durableId="751973541">
    <w:abstractNumId w:val="93"/>
  </w:num>
  <w:num w:numId="94" w16cid:durableId="1299412574">
    <w:abstractNumId w:val="79"/>
  </w:num>
  <w:num w:numId="95" w16cid:durableId="1610819961">
    <w:abstractNumId w:val="60"/>
  </w:num>
  <w:num w:numId="96" w16cid:durableId="184759367">
    <w:abstractNumId w:val="44"/>
  </w:num>
  <w:num w:numId="97" w16cid:durableId="1664357109">
    <w:abstractNumId w:val="107"/>
  </w:num>
  <w:num w:numId="98" w16cid:durableId="881357126">
    <w:abstractNumId w:val="87"/>
  </w:num>
  <w:num w:numId="99" w16cid:durableId="1076440248">
    <w:abstractNumId w:val="56"/>
  </w:num>
  <w:num w:numId="100" w16cid:durableId="64303394">
    <w:abstractNumId w:val="37"/>
  </w:num>
  <w:num w:numId="101" w16cid:durableId="1988320834">
    <w:abstractNumId w:val="90"/>
  </w:num>
  <w:num w:numId="102" w16cid:durableId="932469968">
    <w:abstractNumId w:val="89"/>
  </w:num>
  <w:num w:numId="103" w16cid:durableId="188103012">
    <w:abstractNumId w:val="102"/>
  </w:num>
  <w:num w:numId="104" w16cid:durableId="14504168">
    <w:abstractNumId w:val="20"/>
  </w:num>
  <w:num w:numId="105" w16cid:durableId="2124763766">
    <w:abstractNumId w:val="57"/>
  </w:num>
  <w:num w:numId="106" w16cid:durableId="1489906743">
    <w:abstractNumId w:val="105"/>
  </w:num>
  <w:num w:numId="107" w16cid:durableId="2008634422">
    <w:abstractNumId w:val="101"/>
  </w:num>
  <w:num w:numId="108" w16cid:durableId="1399401458">
    <w:abstractNumId w:val="21"/>
  </w:num>
  <w:num w:numId="109" w16cid:durableId="735126336">
    <w:abstractNumId w:val="5"/>
  </w:num>
  <w:num w:numId="110" w16cid:durableId="558713884">
    <w:abstractNumId w:val="9"/>
  </w:num>
  <w:num w:numId="111" w16cid:durableId="1115251594">
    <w:abstractNumId w:val="95"/>
  </w:num>
  <w:num w:numId="112" w16cid:durableId="1309163560">
    <w:abstractNumId w:val="110"/>
  </w:num>
  <w:num w:numId="113" w16cid:durableId="504903048">
    <w:abstractNumId w:val="78"/>
  </w:num>
  <w:num w:numId="114" w16cid:durableId="608633020">
    <w:abstractNumId w:val="104"/>
  </w:num>
  <w:num w:numId="115" w16cid:durableId="77413186">
    <w:abstractNumId w:val="14"/>
  </w:num>
  <w:num w:numId="116" w16cid:durableId="1193416181">
    <w:abstractNumId w:val="115"/>
  </w:num>
  <w:num w:numId="117" w16cid:durableId="530728298">
    <w:abstractNumId w:val="52"/>
  </w:num>
  <w:num w:numId="118" w16cid:durableId="9155616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3"/>
    <w:rsid w:val="000028E1"/>
    <w:rsid w:val="000050F3"/>
    <w:rsid w:val="00014826"/>
    <w:rsid w:val="000302B7"/>
    <w:rsid w:val="00051DB5"/>
    <w:rsid w:val="00076CF7"/>
    <w:rsid w:val="00095449"/>
    <w:rsid w:val="0009616D"/>
    <w:rsid w:val="000E0AF6"/>
    <w:rsid w:val="000E0C50"/>
    <w:rsid w:val="00101BF0"/>
    <w:rsid w:val="001038B3"/>
    <w:rsid w:val="00106288"/>
    <w:rsid w:val="001123FA"/>
    <w:rsid w:val="00112947"/>
    <w:rsid w:val="00144870"/>
    <w:rsid w:val="00154EAA"/>
    <w:rsid w:val="00176A46"/>
    <w:rsid w:val="001A3C5B"/>
    <w:rsid w:val="001B395C"/>
    <w:rsid w:val="001C1482"/>
    <w:rsid w:val="001D1C0A"/>
    <w:rsid w:val="001D2AE8"/>
    <w:rsid w:val="001D5981"/>
    <w:rsid w:val="001E066E"/>
    <w:rsid w:val="001E4BB6"/>
    <w:rsid w:val="001F14BC"/>
    <w:rsid w:val="001F21ED"/>
    <w:rsid w:val="001F7D7A"/>
    <w:rsid w:val="0020236B"/>
    <w:rsid w:val="00207F46"/>
    <w:rsid w:val="00211DDB"/>
    <w:rsid w:val="00212DD5"/>
    <w:rsid w:val="002133F8"/>
    <w:rsid w:val="00220CBE"/>
    <w:rsid w:val="00236071"/>
    <w:rsid w:val="00237403"/>
    <w:rsid w:val="0027340F"/>
    <w:rsid w:val="00276B3C"/>
    <w:rsid w:val="00280F46"/>
    <w:rsid w:val="0028143E"/>
    <w:rsid w:val="00286A3C"/>
    <w:rsid w:val="002873E8"/>
    <w:rsid w:val="00292326"/>
    <w:rsid w:val="002A6318"/>
    <w:rsid w:val="002B097C"/>
    <w:rsid w:val="002B11C4"/>
    <w:rsid w:val="002C2501"/>
    <w:rsid w:val="002E3D1A"/>
    <w:rsid w:val="002E438D"/>
    <w:rsid w:val="002F4CF1"/>
    <w:rsid w:val="003115F5"/>
    <w:rsid w:val="00320571"/>
    <w:rsid w:val="003303F1"/>
    <w:rsid w:val="00333363"/>
    <w:rsid w:val="003407F1"/>
    <w:rsid w:val="003420A2"/>
    <w:rsid w:val="003455EE"/>
    <w:rsid w:val="003561D6"/>
    <w:rsid w:val="003562EC"/>
    <w:rsid w:val="00360ED9"/>
    <w:rsid w:val="00363D47"/>
    <w:rsid w:val="00365395"/>
    <w:rsid w:val="003658A7"/>
    <w:rsid w:val="0037066C"/>
    <w:rsid w:val="003843F0"/>
    <w:rsid w:val="00397FE4"/>
    <w:rsid w:val="003A6AEE"/>
    <w:rsid w:val="003E6B74"/>
    <w:rsid w:val="003F4F71"/>
    <w:rsid w:val="003F7753"/>
    <w:rsid w:val="00400F7F"/>
    <w:rsid w:val="00411CB4"/>
    <w:rsid w:val="00414E83"/>
    <w:rsid w:val="004333D0"/>
    <w:rsid w:val="00436FCE"/>
    <w:rsid w:val="004447B0"/>
    <w:rsid w:val="00454986"/>
    <w:rsid w:val="004575C4"/>
    <w:rsid w:val="004A5697"/>
    <w:rsid w:val="004B077B"/>
    <w:rsid w:val="004F5ABA"/>
    <w:rsid w:val="004F6C01"/>
    <w:rsid w:val="00502A97"/>
    <w:rsid w:val="00512D8C"/>
    <w:rsid w:val="00513196"/>
    <w:rsid w:val="00520A10"/>
    <w:rsid w:val="005221D8"/>
    <w:rsid w:val="00550458"/>
    <w:rsid w:val="00556FA3"/>
    <w:rsid w:val="00557CB4"/>
    <w:rsid w:val="00594669"/>
    <w:rsid w:val="005B7051"/>
    <w:rsid w:val="005C142F"/>
    <w:rsid w:val="005C212F"/>
    <w:rsid w:val="005D6F70"/>
    <w:rsid w:val="005E2A4E"/>
    <w:rsid w:val="005F525D"/>
    <w:rsid w:val="00600FC9"/>
    <w:rsid w:val="00604FC4"/>
    <w:rsid w:val="00610F5B"/>
    <w:rsid w:val="00625342"/>
    <w:rsid w:val="00633285"/>
    <w:rsid w:val="00644247"/>
    <w:rsid w:val="00660970"/>
    <w:rsid w:val="00666AAE"/>
    <w:rsid w:val="00666B0E"/>
    <w:rsid w:val="00674EAD"/>
    <w:rsid w:val="00676356"/>
    <w:rsid w:val="00680385"/>
    <w:rsid w:val="00682CA1"/>
    <w:rsid w:val="006940AF"/>
    <w:rsid w:val="00695CE7"/>
    <w:rsid w:val="00696603"/>
    <w:rsid w:val="006A2E75"/>
    <w:rsid w:val="006B3020"/>
    <w:rsid w:val="006C1ED2"/>
    <w:rsid w:val="006C53C1"/>
    <w:rsid w:val="006C7EB7"/>
    <w:rsid w:val="006E6505"/>
    <w:rsid w:val="00722756"/>
    <w:rsid w:val="007439B2"/>
    <w:rsid w:val="007466F2"/>
    <w:rsid w:val="00746B03"/>
    <w:rsid w:val="007520A2"/>
    <w:rsid w:val="00756DDE"/>
    <w:rsid w:val="00757656"/>
    <w:rsid w:val="007755C4"/>
    <w:rsid w:val="007B70FC"/>
    <w:rsid w:val="007B7A3C"/>
    <w:rsid w:val="007D6E4F"/>
    <w:rsid w:val="007E2E60"/>
    <w:rsid w:val="007F4F43"/>
    <w:rsid w:val="007F7189"/>
    <w:rsid w:val="008020BB"/>
    <w:rsid w:val="008124C7"/>
    <w:rsid w:val="00822294"/>
    <w:rsid w:val="00832BCE"/>
    <w:rsid w:val="00855B3C"/>
    <w:rsid w:val="00861C01"/>
    <w:rsid w:val="00864D82"/>
    <w:rsid w:val="00871D6D"/>
    <w:rsid w:val="00886F33"/>
    <w:rsid w:val="008B6B8A"/>
    <w:rsid w:val="008E4524"/>
    <w:rsid w:val="008E7081"/>
    <w:rsid w:val="008E72C1"/>
    <w:rsid w:val="008F24E2"/>
    <w:rsid w:val="00905E2E"/>
    <w:rsid w:val="00916805"/>
    <w:rsid w:val="0091730B"/>
    <w:rsid w:val="00927DCB"/>
    <w:rsid w:val="00930025"/>
    <w:rsid w:val="009324C8"/>
    <w:rsid w:val="00933AC1"/>
    <w:rsid w:val="00946835"/>
    <w:rsid w:val="009500B7"/>
    <w:rsid w:val="0095627C"/>
    <w:rsid w:val="0098445C"/>
    <w:rsid w:val="00984C29"/>
    <w:rsid w:val="0099035A"/>
    <w:rsid w:val="009B54F8"/>
    <w:rsid w:val="009C2E4A"/>
    <w:rsid w:val="009D1CB6"/>
    <w:rsid w:val="009D5B05"/>
    <w:rsid w:val="009E58AA"/>
    <w:rsid w:val="00A03A60"/>
    <w:rsid w:val="00A14206"/>
    <w:rsid w:val="00A526A7"/>
    <w:rsid w:val="00A55289"/>
    <w:rsid w:val="00A604A5"/>
    <w:rsid w:val="00A608B6"/>
    <w:rsid w:val="00A623EC"/>
    <w:rsid w:val="00A639FA"/>
    <w:rsid w:val="00A94F60"/>
    <w:rsid w:val="00A976A2"/>
    <w:rsid w:val="00AB0359"/>
    <w:rsid w:val="00AB1517"/>
    <w:rsid w:val="00AB510B"/>
    <w:rsid w:val="00AB6F1A"/>
    <w:rsid w:val="00AB74C5"/>
    <w:rsid w:val="00AB7C18"/>
    <w:rsid w:val="00AD6107"/>
    <w:rsid w:val="00AF0369"/>
    <w:rsid w:val="00B008CF"/>
    <w:rsid w:val="00B0164B"/>
    <w:rsid w:val="00B05E53"/>
    <w:rsid w:val="00B119BD"/>
    <w:rsid w:val="00B32D8D"/>
    <w:rsid w:val="00B34606"/>
    <w:rsid w:val="00B605DC"/>
    <w:rsid w:val="00B6446B"/>
    <w:rsid w:val="00B65112"/>
    <w:rsid w:val="00B666E4"/>
    <w:rsid w:val="00B81117"/>
    <w:rsid w:val="00B819AD"/>
    <w:rsid w:val="00B839E8"/>
    <w:rsid w:val="00BC0966"/>
    <w:rsid w:val="00BC2C7D"/>
    <w:rsid w:val="00BD52BC"/>
    <w:rsid w:val="00BE4C22"/>
    <w:rsid w:val="00C01F78"/>
    <w:rsid w:val="00C065FB"/>
    <w:rsid w:val="00C207D1"/>
    <w:rsid w:val="00C6087B"/>
    <w:rsid w:val="00C61FEC"/>
    <w:rsid w:val="00C94601"/>
    <w:rsid w:val="00C94655"/>
    <w:rsid w:val="00CA7943"/>
    <w:rsid w:val="00CB1051"/>
    <w:rsid w:val="00CE2592"/>
    <w:rsid w:val="00CE53C5"/>
    <w:rsid w:val="00CF126F"/>
    <w:rsid w:val="00D138AC"/>
    <w:rsid w:val="00D20D1D"/>
    <w:rsid w:val="00D5153D"/>
    <w:rsid w:val="00D60E58"/>
    <w:rsid w:val="00D7145D"/>
    <w:rsid w:val="00D80635"/>
    <w:rsid w:val="00D80803"/>
    <w:rsid w:val="00D82D96"/>
    <w:rsid w:val="00D903BA"/>
    <w:rsid w:val="00D94691"/>
    <w:rsid w:val="00DA63CF"/>
    <w:rsid w:val="00DA6DF8"/>
    <w:rsid w:val="00DC6A44"/>
    <w:rsid w:val="00DC6DD2"/>
    <w:rsid w:val="00DD05D7"/>
    <w:rsid w:val="00DD74A5"/>
    <w:rsid w:val="00DE3AD4"/>
    <w:rsid w:val="00DF5D4F"/>
    <w:rsid w:val="00E02FB5"/>
    <w:rsid w:val="00E07FC8"/>
    <w:rsid w:val="00E21C9F"/>
    <w:rsid w:val="00E24C9E"/>
    <w:rsid w:val="00E31283"/>
    <w:rsid w:val="00E532E6"/>
    <w:rsid w:val="00E55228"/>
    <w:rsid w:val="00E63A5D"/>
    <w:rsid w:val="00E74F3C"/>
    <w:rsid w:val="00E8328E"/>
    <w:rsid w:val="00E87547"/>
    <w:rsid w:val="00EB20AC"/>
    <w:rsid w:val="00EB30EE"/>
    <w:rsid w:val="00ED06FB"/>
    <w:rsid w:val="00ED27F6"/>
    <w:rsid w:val="00F10956"/>
    <w:rsid w:val="00F144C4"/>
    <w:rsid w:val="00F15CD2"/>
    <w:rsid w:val="00F300EE"/>
    <w:rsid w:val="00F33FA9"/>
    <w:rsid w:val="00F3548F"/>
    <w:rsid w:val="00F36D94"/>
    <w:rsid w:val="00F37C12"/>
    <w:rsid w:val="00F408BE"/>
    <w:rsid w:val="00F42357"/>
    <w:rsid w:val="00F451C7"/>
    <w:rsid w:val="00F81704"/>
    <w:rsid w:val="00FA2C2E"/>
    <w:rsid w:val="00FA35DE"/>
    <w:rsid w:val="00FC0A32"/>
    <w:rsid w:val="00FD0455"/>
    <w:rsid w:val="00FE7E26"/>
    <w:rsid w:val="00FF1C13"/>
    <w:rsid w:val="00FF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981A"/>
  <w15:docId w15:val="{F2E209ED-8E5E-4C2E-899C-837E766A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60"/>
  </w:style>
  <w:style w:type="paragraph" w:styleId="Heading1">
    <w:name w:val="heading 1"/>
    <w:basedOn w:val="Normal"/>
    <w:next w:val="Normal"/>
    <w:link w:val="Heading1Char"/>
    <w:uiPriority w:val="9"/>
    <w:qFormat/>
    <w:rsid w:val="007520A2"/>
    <w:pPr>
      <w:keepNext/>
      <w:keepLines/>
      <w:spacing w:before="240" w:after="0"/>
      <w:outlineLvl w:val="0"/>
    </w:pPr>
    <w:rPr>
      <w:rFonts w:ascii="Sylfaen" w:eastAsiaTheme="majorEastAsia" w:hAnsi="Sylfaen" w:cstheme="majorBidi"/>
      <w:b/>
      <w:i/>
      <w:color w:val="4F81BD" w:themeColor="accent1"/>
      <w:sz w:val="28"/>
      <w:szCs w:val="32"/>
      <w:u w:val="single"/>
    </w:rPr>
  </w:style>
  <w:style w:type="paragraph" w:styleId="Heading2">
    <w:name w:val="heading 2"/>
    <w:basedOn w:val="Normal"/>
    <w:link w:val="Heading2Char"/>
    <w:uiPriority w:val="9"/>
    <w:qFormat/>
    <w:rsid w:val="00696603"/>
    <w:pPr>
      <w:spacing w:before="100" w:beforeAutospacing="1" w:after="100" w:afterAutospacing="1" w:line="240" w:lineRule="auto"/>
      <w:jc w:val="center"/>
      <w:outlineLvl w:val="1"/>
    </w:pPr>
    <w:rPr>
      <w:rFonts w:ascii="Sylfaen" w:eastAsia="Times New Roman" w:hAnsi="Sylfaen" w:cs="Times New Roman"/>
      <w:b/>
      <w:bCs/>
      <w:i/>
      <w:color w:val="4F81BD" w:themeColor="accent1"/>
      <w:sz w:val="24"/>
      <w:szCs w:val="36"/>
    </w:rPr>
  </w:style>
  <w:style w:type="paragraph" w:styleId="Heading4">
    <w:name w:val="heading 4"/>
    <w:basedOn w:val="Normal"/>
    <w:link w:val="Heading4Char"/>
    <w:uiPriority w:val="9"/>
    <w:qFormat/>
    <w:rsid w:val="003333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0050F3"/>
    <w:pPr>
      <w:keepNext/>
      <w:keepLines/>
      <w:spacing w:before="40" w:after="0"/>
      <w:jc w:val="center"/>
      <w:outlineLvl w:val="4"/>
    </w:pPr>
    <w:rPr>
      <w:rFonts w:ascii="Sylfaen" w:eastAsiaTheme="majorEastAsia" w:hAnsi="Sylfaen" w:cstheme="majorBidi"/>
      <w:b/>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603"/>
    <w:rPr>
      <w:rFonts w:ascii="Sylfaen" w:eastAsia="Times New Roman" w:hAnsi="Sylfaen" w:cs="Times New Roman"/>
      <w:b/>
      <w:bCs/>
      <w:i/>
      <w:color w:val="4F81BD" w:themeColor="accent1"/>
      <w:sz w:val="24"/>
      <w:szCs w:val="36"/>
    </w:rPr>
  </w:style>
  <w:style w:type="character" w:customStyle="1" w:styleId="Heading4Char">
    <w:name w:val="Heading 4 Char"/>
    <w:basedOn w:val="DefaultParagraphFont"/>
    <w:link w:val="Heading4"/>
    <w:uiPriority w:val="9"/>
    <w:rsid w:val="003333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33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363"/>
    <w:rPr>
      <w:b/>
      <w:bCs/>
    </w:rPr>
  </w:style>
  <w:style w:type="character" w:styleId="Emphasis">
    <w:name w:val="Emphasis"/>
    <w:basedOn w:val="DefaultParagraphFont"/>
    <w:uiPriority w:val="20"/>
    <w:qFormat/>
    <w:rsid w:val="00333363"/>
    <w:rPr>
      <w:i/>
      <w:iCs/>
    </w:rPr>
  </w:style>
  <w:style w:type="character" w:styleId="Hyperlink">
    <w:name w:val="Hyperlink"/>
    <w:basedOn w:val="DefaultParagraphFont"/>
    <w:uiPriority w:val="99"/>
    <w:unhideWhenUsed/>
    <w:rsid w:val="00333363"/>
    <w:rPr>
      <w:color w:val="0000FF"/>
      <w:u w:val="single"/>
    </w:rPr>
  </w:style>
  <w:style w:type="paragraph" w:styleId="ListParagraph">
    <w:name w:val="List Paragraph"/>
    <w:basedOn w:val="Normal"/>
    <w:link w:val="ListParagraphChar"/>
    <w:uiPriority w:val="34"/>
    <w:qFormat/>
    <w:rsid w:val="00660970"/>
    <w:pPr>
      <w:ind w:left="720"/>
      <w:contextualSpacing/>
    </w:pPr>
  </w:style>
  <w:style w:type="paragraph" w:styleId="BalloonText">
    <w:name w:val="Balloon Text"/>
    <w:basedOn w:val="Normal"/>
    <w:link w:val="BalloonTextChar"/>
    <w:uiPriority w:val="99"/>
    <w:semiHidden/>
    <w:unhideWhenUsed/>
    <w:rsid w:val="00E0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B5"/>
    <w:rPr>
      <w:rFonts w:ascii="Tahoma" w:hAnsi="Tahoma" w:cs="Tahoma"/>
      <w:sz w:val="16"/>
      <w:szCs w:val="16"/>
    </w:rPr>
  </w:style>
  <w:style w:type="paragraph" w:styleId="Header">
    <w:name w:val="header"/>
    <w:basedOn w:val="Normal"/>
    <w:link w:val="HeaderChar"/>
    <w:uiPriority w:val="99"/>
    <w:unhideWhenUsed/>
    <w:rsid w:val="002A6318"/>
    <w:pPr>
      <w:tabs>
        <w:tab w:val="center" w:pos="4844"/>
        <w:tab w:val="right" w:pos="9689"/>
      </w:tabs>
      <w:spacing w:after="0" w:line="240" w:lineRule="auto"/>
    </w:pPr>
  </w:style>
  <w:style w:type="character" w:customStyle="1" w:styleId="HeaderChar">
    <w:name w:val="Header Char"/>
    <w:basedOn w:val="DefaultParagraphFont"/>
    <w:link w:val="Header"/>
    <w:uiPriority w:val="99"/>
    <w:rsid w:val="002A6318"/>
  </w:style>
  <w:style w:type="paragraph" w:styleId="Footer">
    <w:name w:val="footer"/>
    <w:basedOn w:val="Normal"/>
    <w:link w:val="FooterChar"/>
    <w:uiPriority w:val="99"/>
    <w:unhideWhenUsed/>
    <w:rsid w:val="002A6318"/>
    <w:pPr>
      <w:tabs>
        <w:tab w:val="center" w:pos="4844"/>
        <w:tab w:val="right" w:pos="9689"/>
      </w:tabs>
      <w:spacing w:after="0" w:line="240" w:lineRule="auto"/>
    </w:pPr>
  </w:style>
  <w:style w:type="character" w:customStyle="1" w:styleId="FooterChar">
    <w:name w:val="Footer Char"/>
    <w:basedOn w:val="DefaultParagraphFont"/>
    <w:link w:val="Footer"/>
    <w:uiPriority w:val="99"/>
    <w:rsid w:val="002A6318"/>
  </w:style>
  <w:style w:type="table" w:styleId="TableGrid">
    <w:name w:val="Table Grid"/>
    <w:basedOn w:val="TableNormal"/>
    <w:uiPriority w:val="59"/>
    <w:rsid w:val="00984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D1A"/>
    <w:rPr>
      <w:color w:val="605E5C"/>
      <w:shd w:val="clear" w:color="auto" w:fill="E1DFDD"/>
    </w:rPr>
  </w:style>
  <w:style w:type="table" w:customStyle="1" w:styleId="TableGrid1">
    <w:name w:val="Table Grid1"/>
    <w:basedOn w:val="TableNormal"/>
    <w:next w:val="TableGrid"/>
    <w:uiPriority w:val="59"/>
    <w:rsid w:val="001A3C5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3C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5Char">
    <w:name w:val="Heading 5 Char"/>
    <w:basedOn w:val="DefaultParagraphFont"/>
    <w:link w:val="Heading5"/>
    <w:uiPriority w:val="9"/>
    <w:rsid w:val="000050F3"/>
    <w:rPr>
      <w:rFonts w:ascii="Sylfaen" w:eastAsiaTheme="majorEastAsia" w:hAnsi="Sylfaen" w:cstheme="majorBidi"/>
      <w:b/>
      <w:color w:val="365F91" w:themeColor="accent1" w:themeShade="BF"/>
      <w:sz w:val="24"/>
    </w:rPr>
  </w:style>
  <w:style w:type="character" w:customStyle="1" w:styleId="Heading1Char">
    <w:name w:val="Heading 1 Char"/>
    <w:basedOn w:val="DefaultParagraphFont"/>
    <w:link w:val="Heading1"/>
    <w:uiPriority w:val="9"/>
    <w:rsid w:val="007520A2"/>
    <w:rPr>
      <w:rFonts w:ascii="Sylfaen" w:eastAsiaTheme="majorEastAsia" w:hAnsi="Sylfaen" w:cstheme="majorBidi"/>
      <w:b/>
      <w:i/>
      <w:color w:val="4F81BD" w:themeColor="accent1"/>
      <w:sz w:val="28"/>
      <w:szCs w:val="32"/>
      <w:u w:val="single"/>
    </w:rPr>
  </w:style>
  <w:style w:type="character" w:styleId="FollowedHyperlink">
    <w:name w:val="FollowedHyperlink"/>
    <w:basedOn w:val="DefaultParagraphFont"/>
    <w:uiPriority w:val="99"/>
    <w:semiHidden/>
    <w:unhideWhenUsed/>
    <w:rsid w:val="000050F3"/>
    <w:rPr>
      <w:color w:val="800080" w:themeColor="followedHyperlink"/>
      <w:u w:val="single"/>
    </w:rPr>
  </w:style>
  <w:style w:type="table" w:customStyle="1" w:styleId="TableGrid2">
    <w:name w:val="Table Grid2"/>
    <w:basedOn w:val="TableNormal"/>
    <w:next w:val="TableGrid"/>
    <w:uiPriority w:val="59"/>
    <w:rsid w:val="009D1CB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F5ABA"/>
    <w:pPr>
      <w:numPr>
        <w:numId w:val="31"/>
      </w:numPr>
      <w:contextualSpacing/>
    </w:pPr>
    <w:rPr>
      <w:lang w:val="en-US" w:eastAsia="en-US"/>
    </w:rPr>
  </w:style>
  <w:style w:type="table" w:customStyle="1" w:styleId="TableGrid4">
    <w:name w:val="Table Grid4"/>
    <w:basedOn w:val="TableNormal"/>
    <w:next w:val="TableGrid"/>
    <w:uiPriority w:val="39"/>
    <w:rsid w:val="00FA35DE"/>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0BB"/>
    <w:pPr>
      <w:spacing w:line="259" w:lineRule="auto"/>
      <w:outlineLvl w:val="9"/>
    </w:pPr>
    <w:rPr>
      <w:rFonts w:asciiTheme="majorHAnsi" w:hAnsiTheme="majorHAnsi"/>
      <w:b w:val="0"/>
      <w:i w:val="0"/>
      <w:color w:val="365F91" w:themeColor="accent1" w:themeShade="BF"/>
      <w:sz w:val="32"/>
      <w:u w:val="none"/>
      <w:lang w:val="en-US" w:eastAsia="en-US"/>
    </w:rPr>
  </w:style>
  <w:style w:type="paragraph" w:styleId="TOC2">
    <w:name w:val="toc 2"/>
    <w:basedOn w:val="Normal"/>
    <w:next w:val="Normal"/>
    <w:autoRedefine/>
    <w:uiPriority w:val="39"/>
    <w:unhideWhenUsed/>
    <w:rsid w:val="008020BB"/>
    <w:pPr>
      <w:spacing w:after="100"/>
      <w:ind w:left="220"/>
    </w:pPr>
  </w:style>
  <w:style w:type="paragraph" w:styleId="TOC1">
    <w:name w:val="toc 1"/>
    <w:basedOn w:val="Normal"/>
    <w:next w:val="Normal"/>
    <w:autoRedefine/>
    <w:uiPriority w:val="39"/>
    <w:unhideWhenUsed/>
    <w:rsid w:val="008020BB"/>
    <w:pPr>
      <w:spacing w:after="100"/>
    </w:pPr>
  </w:style>
  <w:style w:type="table" w:customStyle="1" w:styleId="TableGrid3">
    <w:name w:val="Table Grid3"/>
    <w:basedOn w:val="TableNormal"/>
    <w:next w:val="TableGrid"/>
    <w:uiPriority w:val="59"/>
    <w:rsid w:val="00ED06F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06F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076CF7"/>
    <w:pPr>
      <w:numPr>
        <w:numId w:val="118"/>
      </w:numPr>
      <w:spacing w:after="0"/>
      <w:jc w:val="both"/>
    </w:pPr>
    <w:rPr>
      <w:rFonts w:ascii="Sylfaen" w:eastAsia="Calibri" w:hAnsi="Sylfaen" w:cs="Times New Roman"/>
      <w:kern w:val="2"/>
      <w:lang w:val="en-US" w:eastAsia="en-US"/>
    </w:rPr>
  </w:style>
  <w:style w:type="character" w:customStyle="1" w:styleId="ListParagraphChar">
    <w:name w:val="List Paragraph Char"/>
    <w:basedOn w:val="DefaultParagraphFont"/>
    <w:link w:val="ListParagraph"/>
    <w:uiPriority w:val="34"/>
    <w:rsid w:val="00076CF7"/>
  </w:style>
  <w:style w:type="character" w:customStyle="1" w:styleId="bulletChar">
    <w:name w:val="bullet Char"/>
    <w:basedOn w:val="ListParagraphChar"/>
    <w:link w:val="bullet"/>
    <w:rsid w:val="00076CF7"/>
    <w:rPr>
      <w:rFonts w:ascii="Sylfaen" w:eastAsia="Calibri" w:hAnsi="Sylfaen" w:cs="Times New Roman"/>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4296">
      <w:bodyDiv w:val="1"/>
      <w:marLeft w:val="0"/>
      <w:marRight w:val="0"/>
      <w:marTop w:val="0"/>
      <w:marBottom w:val="0"/>
      <w:divBdr>
        <w:top w:val="none" w:sz="0" w:space="0" w:color="auto"/>
        <w:left w:val="none" w:sz="0" w:space="0" w:color="auto"/>
        <w:bottom w:val="none" w:sz="0" w:space="0" w:color="auto"/>
        <w:right w:val="none" w:sz="0" w:space="0" w:color="auto"/>
      </w:divBdr>
      <w:divsChild>
        <w:div w:id="1559169639">
          <w:marLeft w:val="0"/>
          <w:marRight w:val="0"/>
          <w:marTop w:val="0"/>
          <w:marBottom w:val="0"/>
          <w:divBdr>
            <w:top w:val="none" w:sz="0" w:space="0" w:color="auto"/>
            <w:left w:val="none" w:sz="0" w:space="0" w:color="auto"/>
            <w:bottom w:val="none" w:sz="0" w:space="0" w:color="auto"/>
            <w:right w:val="none" w:sz="0" w:space="0" w:color="auto"/>
          </w:divBdr>
        </w:div>
      </w:divsChild>
    </w:div>
    <w:div w:id="851918735">
      <w:bodyDiv w:val="1"/>
      <w:marLeft w:val="0"/>
      <w:marRight w:val="0"/>
      <w:marTop w:val="0"/>
      <w:marBottom w:val="0"/>
      <w:divBdr>
        <w:top w:val="none" w:sz="0" w:space="0" w:color="auto"/>
        <w:left w:val="none" w:sz="0" w:space="0" w:color="auto"/>
        <w:bottom w:val="none" w:sz="0" w:space="0" w:color="auto"/>
        <w:right w:val="none" w:sz="0" w:space="0" w:color="auto"/>
      </w:divBdr>
    </w:div>
    <w:div w:id="1012879984">
      <w:bodyDiv w:val="1"/>
      <w:marLeft w:val="0"/>
      <w:marRight w:val="0"/>
      <w:marTop w:val="0"/>
      <w:marBottom w:val="0"/>
      <w:divBdr>
        <w:top w:val="none" w:sz="0" w:space="0" w:color="auto"/>
        <w:left w:val="none" w:sz="0" w:space="0" w:color="auto"/>
        <w:bottom w:val="none" w:sz="0" w:space="0" w:color="auto"/>
        <w:right w:val="none" w:sz="0" w:space="0" w:color="auto"/>
      </w:divBdr>
    </w:div>
    <w:div w:id="20486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smu.am/en/faculty/faculty-of-public-healt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smu.am/en/right/higher-education-regu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h@ysmu.am" TargetMode="External"/><Relationship Id="rId5" Type="http://schemas.openxmlformats.org/officeDocument/2006/relationships/webSettings" Target="webSettings.xml"/><Relationship Id="rId15" Type="http://schemas.openxmlformats.org/officeDocument/2006/relationships/hyperlink" Target="https://ysmu.am/en/right/higher-education-regulation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smu.am/right/bardzraguyn-krtutyan-kanonakar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D797-79ED-41AE-98A5-B3E18E7F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71</Pages>
  <Words>31178</Words>
  <Characters>177720</Characters>
  <Application>Microsoft Office Word</Application>
  <DocSecurity>0</DocSecurity>
  <Lines>1481</Lines>
  <Paragraphs>416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ICAPHE</cp:lastModifiedBy>
  <cp:revision>4</cp:revision>
  <cp:lastPrinted>2025-09-05T13:45:00Z</cp:lastPrinted>
  <dcterms:created xsi:type="dcterms:W3CDTF">2025-09-11T08:38:00Z</dcterms:created>
  <dcterms:modified xsi:type="dcterms:W3CDTF">2025-09-11T08:44:00Z</dcterms:modified>
</cp:coreProperties>
</file>